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_rels/document.xml.rels" ContentType="application/vnd.openxmlformats-package.relationships+xml"/>
  <Override PartName="/word/document.xml" ContentType="application/vnd.openxmlformats-officedocument.wordprocessingml.document.main+xml"/>
  <Override PartName="/word/footnotes.xml" ContentType="application/vnd.openxmlformats-officedocument.wordprocessingml.footnot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PT Astra Serif" w:hAnsi="PT Astra Serif"/>
          <w:sz w:val="28"/>
          <w:szCs w:val="28"/>
        </w:rPr>
      </w:pPr>
      <w:bookmarkStart w:id="0" w:name="_GoBack"/>
      <w:bookmarkEnd w:id="0"/>
      <w:r>
        <w:rPr>
          <w:rFonts w:ascii="PT Astra Serif" w:hAnsi="PT Astra Serif"/>
          <w:b/>
          <w:bCs/>
          <w:sz w:val="28"/>
          <w:szCs w:val="28"/>
        </w:rPr>
        <w:t>ИЗВЕЩЕНИЕ О ПРОВЕДЕНИИ АУКЦИОНА В ЭЛЕКТРОННОЙ ФОРМЕ</w:t>
      </w:r>
    </w:p>
    <w:p>
      <w:pPr>
        <w:pStyle w:val="Normal"/>
        <w:jc w:val="center"/>
        <w:rPr>
          <w:rFonts w:ascii="PT Astra Serif" w:hAnsi="PT Astra Serif"/>
          <w:b/>
          <w:bCs/>
          <w:sz w:val="28"/>
          <w:szCs w:val="28"/>
        </w:rPr>
      </w:pPr>
      <w:r>
        <w:rPr>
          <w:rFonts w:ascii="PT Astra Serif" w:hAnsi="PT Astra Serif"/>
          <w:b/>
          <w:bCs/>
          <w:sz w:val="28"/>
          <w:szCs w:val="28"/>
        </w:rPr>
      </w:r>
    </w:p>
    <w:p>
      <w:pPr>
        <w:pStyle w:val="Normal"/>
        <w:jc w:val="center"/>
        <w:rPr>
          <w:rFonts w:ascii="PT Astra Serif" w:hAnsi="PT Astra Serif"/>
          <w:sz w:val="28"/>
          <w:szCs w:val="28"/>
        </w:rPr>
      </w:pPr>
      <w:r>
        <w:rPr>
          <w:rFonts w:ascii="PT Astra Serif" w:hAnsi="PT Astra Serif"/>
          <w:b/>
          <w:bCs/>
          <w:sz w:val="28"/>
          <w:szCs w:val="28"/>
        </w:rPr>
        <w:t>на право заключения договора аренды земельного участка,</w:t>
      </w:r>
    </w:p>
    <w:p>
      <w:pPr>
        <w:pStyle w:val="Normal"/>
        <w:jc w:val="center"/>
        <w:rPr>
          <w:rFonts w:ascii="PT Astra Serif" w:hAnsi="PT Astra Serif"/>
          <w:sz w:val="28"/>
          <w:szCs w:val="28"/>
        </w:rPr>
      </w:pPr>
      <w:r>
        <w:rPr>
          <w:rFonts w:ascii="PT Astra Serif" w:hAnsi="PT Astra Serif"/>
          <w:b/>
          <w:bCs/>
          <w:sz w:val="28"/>
          <w:szCs w:val="28"/>
        </w:rPr>
        <w:t>государственная собственность на который не разграничена</w:t>
      </w:r>
    </w:p>
    <w:p>
      <w:pPr>
        <w:pStyle w:val="Normal"/>
        <w:jc w:val="center"/>
        <w:rPr>
          <w:rFonts w:ascii="PT Astra Serif" w:hAnsi="PT Astra Serif"/>
          <w:b/>
          <w:bCs/>
          <w:sz w:val="28"/>
          <w:szCs w:val="28"/>
        </w:rPr>
      </w:pPr>
      <w:r>
        <w:rPr>
          <w:rFonts w:ascii="PT Astra Serif" w:hAnsi="PT Astra Serif"/>
          <w:b/>
          <w:bCs/>
          <w:sz w:val="28"/>
          <w:szCs w:val="28"/>
        </w:rPr>
      </w:r>
    </w:p>
    <w:p>
      <w:pPr>
        <w:pStyle w:val="Normal"/>
        <w:jc w:val="center"/>
        <w:rPr>
          <w:rFonts w:ascii="PT Astra Serif" w:hAnsi="PT Astra Serif"/>
          <w:sz w:val="28"/>
          <w:szCs w:val="28"/>
        </w:rPr>
      </w:pPr>
      <w:r>
        <w:rPr>
          <w:rFonts w:ascii="PT Astra Serif" w:hAnsi="PT Astra Serif"/>
          <w:b/>
          <w:bCs/>
          <w:sz w:val="28"/>
          <w:szCs w:val="28"/>
        </w:rPr>
        <w:t>1. Общие положения об аукционе в электронной форме</w:t>
      </w:r>
    </w:p>
    <w:p>
      <w:pPr>
        <w:pStyle w:val="Normal"/>
        <w:jc w:val="center"/>
        <w:rPr>
          <w:rFonts w:ascii="PT Astra Serif" w:hAnsi="PT Astra Serif"/>
          <w:b/>
          <w:bCs/>
          <w:sz w:val="28"/>
          <w:szCs w:val="28"/>
        </w:rPr>
      </w:pPr>
      <w:r>
        <w:rPr>
          <w:rFonts w:ascii="PT Astra Serif" w:hAnsi="PT Astra Serif"/>
          <w:b/>
          <w:bCs/>
          <w:sz w:val="28"/>
          <w:szCs w:val="28"/>
        </w:rPr>
      </w:r>
    </w:p>
    <w:p>
      <w:pPr>
        <w:pStyle w:val="Normal"/>
        <w:widowControl w:val="false"/>
        <w:spacing w:lineRule="auto" w:line="240"/>
        <w:ind w:firstLine="601"/>
        <w:jc w:val="both"/>
        <w:rPr/>
      </w:pPr>
      <w:r>
        <w:rPr>
          <w:rFonts w:ascii="PT Astra Serif" w:hAnsi="PT Astra Serif"/>
          <w:sz w:val="28"/>
          <w:szCs w:val="28"/>
        </w:rPr>
        <w:t xml:space="preserve">1.1. Уполномоченный орган (арендодатель) — администрация Партизанского муниципального округа. Место нахождения, почтовый адрес, адрес электронной почты и номер контактного телефона уполномоченного органа: 692962, Приморский край, Партизанский муниципальный округ,                  с. Владимиро-Александровское, ул. Комсомольская, д. 45 А, adm@partizansky.ru, 8-42365-21-0-88. Официальный сайт: </w:t>
      </w:r>
      <w:hyperlink r:id="rId2">
        <w:r>
          <w:rPr>
            <w:rStyle w:val="Hyperlink"/>
            <w:rFonts w:ascii="PT Astra Serif" w:hAnsi="PT Astra Serif"/>
            <w:sz w:val="28"/>
            <w:szCs w:val="28"/>
          </w:rPr>
          <w:t>http://rayon.partizansky.ru/</w:t>
        </w:r>
      </w:hyperlink>
      <w:r>
        <w:rPr>
          <w:rStyle w:val="Hyperlink"/>
          <w:rFonts w:ascii="PT Astra Serif" w:hAnsi="PT Astra Serif"/>
          <w:sz w:val="28"/>
          <w:szCs w:val="28"/>
        </w:rPr>
        <w:t>.</w:t>
      </w:r>
    </w:p>
    <w:p>
      <w:pPr>
        <w:pStyle w:val="Normal"/>
        <w:widowControl w:val="false"/>
        <w:spacing w:lineRule="auto" w:line="240"/>
        <w:ind w:firstLine="601"/>
        <w:jc w:val="both"/>
        <w:rPr/>
      </w:pPr>
      <w:r>
        <w:rPr>
          <w:rFonts w:ascii="PT Astra Serif" w:hAnsi="PT Astra Serif"/>
          <w:sz w:val="28"/>
          <w:szCs w:val="28"/>
        </w:rPr>
        <w:t xml:space="preserve">1.2. Организатор аукциона — администрация Партизанского муниципального округа. Место нахождения, почтовый адрес, адрес электронной почты и номер контактного телефона уполномоченного органа: 692962, Приморский край, Партизанский муниципальный округ, с. Владимиро-Александровское, ул. Комсомольская, д. 45 А, adm@partizansky.ru,  8-42365-21-0-88. Официальный сайт: </w:t>
      </w:r>
      <w:hyperlink r:id="rId3">
        <w:r>
          <w:rPr>
            <w:rStyle w:val="Hyperlink"/>
            <w:rFonts w:ascii="PT Astra Serif" w:hAnsi="PT Astra Serif"/>
            <w:sz w:val="28"/>
            <w:szCs w:val="28"/>
          </w:rPr>
          <w:t>http://rayon.partizansky.ru/</w:t>
        </w:r>
      </w:hyperlink>
      <w:r>
        <w:rPr>
          <w:rStyle w:val="Hyperlink"/>
          <w:rFonts w:ascii="PT Astra Serif" w:hAnsi="PT Astra Serif"/>
          <w:sz w:val="28"/>
          <w:szCs w:val="28"/>
        </w:rPr>
        <w:t>.</w:t>
      </w:r>
    </w:p>
    <w:p>
      <w:pPr>
        <w:pStyle w:val="Normal"/>
        <w:widowControl w:val="false"/>
        <w:spacing w:lineRule="auto" w:line="240"/>
        <w:ind w:firstLine="601"/>
        <w:jc w:val="both"/>
        <w:rPr>
          <w:highlight w:val="none"/>
          <w:shd w:fill="auto" w:val="clear"/>
        </w:rPr>
      </w:pPr>
      <w:r>
        <w:rPr>
          <w:rFonts w:ascii="PT Astra Serif" w:hAnsi="PT Astra Serif"/>
          <w:sz w:val="28"/>
          <w:szCs w:val="28"/>
          <w:shd w:fill="auto" w:val="clear"/>
        </w:rPr>
        <w:t>1.3. Аукцион в электронной форме проводится на основании постановления администрации Партизанского муниципального округа Приморского края от 18.06.2025 № 737 «О проведении торгов в форме электронного аукциона на право заключения договора аренды земельного участка с кадастровым номером 25:13:020315:8454».</w:t>
      </w:r>
    </w:p>
    <w:p>
      <w:pPr>
        <w:pStyle w:val="Normal"/>
        <w:widowControl w:val="false"/>
        <w:spacing w:lineRule="auto" w:line="240"/>
        <w:ind w:firstLine="601"/>
        <w:jc w:val="both"/>
        <w:rPr/>
      </w:pPr>
      <w:r>
        <w:rPr>
          <w:rFonts w:ascii="PT Astra Serif" w:hAnsi="PT Astra Serif"/>
          <w:sz w:val="28"/>
          <w:szCs w:val="28"/>
        </w:rPr>
        <w:t xml:space="preserve">1.4. Аукцион в электронной форме (электронный аукцион) проводится на электронной торговой площадке для государственных и муниципальных закупок (далее - электронная площадка, ЭТП) https://www.rts-tender.ru/ «Имущественные торги», оператором которой является Общество с ограниченной ответственностью «РТС-тендер» (ООО «РТС-тендер»). Место нахождения, почтовый адрес, адрес электронной почты и номер контактного телефона оператора: 121151, город Москва, набережная Тараса Шевченко, дом 23А, тел.: +7 (800) 77-55-800 (звонок по России бесплатный), </w:t>
      </w:r>
      <w:hyperlink r:id="rId4">
        <w:r>
          <w:rPr>
            <w:rStyle w:val="Hyperlink"/>
            <w:rFonts w:ascii="PT Astra Serif" w:hAnsi="PT Astra Serif"/>
            <w:sz w:val="28"/>
            <w:szCs w:val="28"/>
          </w:rPr>
          <w:t>iSupport@rts-tender.ru</w:t>
        </w:r>
      </w:hyperlink>
      <w:r>
        <w:rPr>
          <w:rFonts w:ascii="PT Astra Serif" w:hAnsi="PT Astra Serif"/>
          <w:sz w:val="28"/>
          <w:szCs w:val="28"/>
        </w:rPr>
        <w:t>.</w:t>
      </w:r>
    </w:p>
    <w:p>
      <w:pPr>
        <w:pStyle w:val="Normal"/>
        <w:widowControl w:val="false"/>
        <w:spacing w:lineRule="auto" w:line="240"/>
        <w:ind w:firstLine="601"/>
        <w:jc w:val="both"/>
        <w:rPr>
          <w:rFonts w:ascii="PT Astra Serif" w:hAnsi="PT Astra Serif"/>
          <w:sz w:val="28"/>
          <w:szCs w:val="28"/>
        </w:rPr>
      </w:pPr>
      <w:r>
        <w:rPr>
          <w:rFonts w:ascii="PT Astra Serif" w:hAnsi="PT Astra Serif"/>
          <w:sz w:val="28"/>
          <w:szCs w:val="28"/>
        </w:rPr>
        <w:t>1.5. Электронный аукцион является открытым по составу участников и по форме подачи предложений о размере годовой арендной платы за земельный участок.</w:t>
      </w:r>
    </w:p>
    <w:p>
      <w:pPr>
        <w:pStyle w:val="Normal"/>
        <w:jc w:val="center"/>
        <w:rPr>
          <w:rFonts w:ascii="PT Astra Serif" w:hAnsi="PT Astra Serif"/>
          <w:sz w:val="28"/>
          <w:szCs w:val="28"/>
        </w:rPr>
      </w:pPr>
      <w:r>
        <w:rPr>
          <w:rFonts w:ascii="PT Astra Serif" w:hAnsi="PT Astra Serif"/>
          <w:b/>
          <w:bCs/>
          <w:sz w:val="28"/>
          <w:szCs w:val="28"/>
        </w:rPr>
        <w:t>2. Сведения о предмете аукциона</w:t>
      </w:r>
    </w:p>
    <w:p>
      <w:pPr>
        <w:pStyle w:val="Normal"/>
        <w:jc w:val="both"/>
        <w:rPr>
          <w:rFonts w:ascii="PT Astra Serif" w:hAnsi="PT Astra Serif"/>
          <w:b/>
          <w:bCs/>
          <w:sz w:val="28"/>
          <w:szCs w:val="28"/>
        </w:rPr>
      </w:pPr>
      <w:r>
        <w:rPr>
          <w:rFonts w:ascii="PT Astra Serif" w:hAnsi="PT Astra Serif"/>
          <w:b/>
          <w:bCs/>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sz w:val="28"/>
          <w:szCs w:val="28"/>
        </w:rPr>
        <w:t xml:space="preserve">2.1. </w:t>
      </w:r>
      <w:r>
        <w:rPr>
          <w:rFonts w:ascii="PT Astra Serif" w:hAnsi="PT Astra Serif"/>
          <w:sz w:val="28"/>
          <w:szCs w:val="28"/>
          <w:shd w:fill="auto" w:val="clear"/>
        </w:rPr>
        <w:t xml:space="preserve">Предмет электронного аукциона - право заключения договора аренды земельного участка площадью 6173 кв. метра (кадастровый номер 25:13:020315:8454). Местоположение: Приморский край, Партизанский район, с.Владимиро-Александровское, ул.Комсомольская, д.99. Категория земель: земли населенных пунктов. Вид разрешенного использования: среднеэтажная жилая застройка. Срок аренды: 4 года 10 месяцев. </w:t>
      </w:r>
    </w:p>
    <w:p>
      <w:pPr>
        <w:pStyle w:val="Normal"/>
        <w:widowControl w:val="false"/>
        <w:spacing w:lineRule="auto" w:line="240"/>
        <w:ind w:firstLine="601"/>
        <w:jc w:val="both"/>
        <w:rPr>
          <w:rFonts w:ascii="PT Astra Serif" w:hAnsi="PT Astra Serif"/>
          <w:sz w:val="28"/>
          <w:szCs w:val="28"/>
        </w:rPr>
      </w:pPr>
      <w:r>
        <w:rPr>
          <w:rFonts w:ascii="PT Astra Serif" w:hAnsi="PT Astra Serif"/>
          <w:sz w:val="28"/>
          <w:szCs w:val="28"/>
          <w:shd w:fill="auto" w:val="clear"/>
        </w:rPr>
        <w:t>Границы земельного участка (схема) указаны в выписке из Единого государственного реестра недвижимости об объекте недвижимости</w:t>
      </w:r>
      <w:r>
        <w:rPr>
          <w:rFonts w:ascii="PT Astra Serif" w:hAnsi="PT Astra Serif"/>
          <w:color w:val="000000"/>
          <w:sz w:val="28"/>
          <w:szCs w:val="28"/>
          <w:shd w:fill="auto" w:val="clear"/>
        </w:rPr>
        <w:t xml:space="preserve"> № КУВИ-001/2025-128001324 от 24.06.2025 (далее - Выписка). </w:t>
      </w:r>
      <w:r>
        <w:rPr>
          <w:rFonts w:ascii="PT Astra Serif" w:hAnsi="PT Astra Serif"/>
          <w:sz w:val="28"/>
          <w:szCs w:val="28"/>
          <w:shd w:fill="auto" w:val="clear"/>
        </w:rPr>
        <w:t>Выписка содержится в материалах, приложенных к настоящему Извещению, и доступна для</w:t>
      </w:r>
      <w:r>
        <w:rPr>
          <w:rFonts w:ascii="PT Astra Serif" w:hAnsi="PT Astra Serif"/>
          <w:sz w:val="28"/>
          <w:szCs w:val="28"/>
        </w:rPr>
        <w:t xml:space="preserve"> ознакомления всем заинтересованным лицам.</w:t>
      </w:r>
    </w:p>
    <w:p>
      <w:pPr>
        <w:pStyle w:val="Normal"/>
        <w:widowControl w:val="false"/>
        <w:spacing w:lineRule="auto" w:line="240"/>
        <w:ind w:firstLine="601"/>
        <w:jc w:val="both"/>
        <w:rPr>
          <w:rFonts w:ascii="PT Astra Serif" w:hAnsi="PT Astra Serif"/>
          <w:sz w:val="28"/>
          <w:szCs w:val="28"/>
        </w:rPr>
      </w:pPr>
      <w:r>
        <w:rPr>
          <w:rFonts w:ascii="PT Astra Serif" w:hAnsi="PT Astra Serif"/>
          <w:b/>
          <w:bCs/>
          <w:sz w:val="28"/>
          <w:szCs w:val="28"/>
        </w:rPr>
        <w:t>Ограничения по использованию:</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Земельный участок расположен в зоне с особыми условиями использования территории: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реестровый номер границы — 25:13-6.504 — зона подтопления территории с.Владимиро-Александровское Партизанского муниципального района Приморского края при глубине залегания грунтовых вод от 2 до 3 метров (территория слабого подтопления).</w:t>
      </w:r>
    </w:p>
    <w:p>
      <w:pPr>
        <w:pStyle w:val="Normal"/>
        <w:widowControl w:val="false"/>
        <w:spacing w:lineRule="auto" w:line="240"/>
        <w:ind w:firstLine="601"/>
        <w:jc w:val="both"/>
        <w:rPr>
          <w:rFonts w:ascii="PT Astra Serif" w:hAnsi="PT Astra Serif"/>
          <w:sz w:val="28"/>
          <w:szCs w:val="28"/>
          <w:highlight w:val="none"/>
          <w:shd w:fill="auto" w:val="clear"/>
        </w:rPr>
      </w:pPr>
      <w:r>
        <w:rPr>
          <w:rFonts w:ascii="PT Astra Serif" w:hAnsi="PT Astra Serif"/>
          <w:b/>
          <w:bCs/>
          <w:color w:val="000000"/>
          <w:sz w:val="28"/>
          <w:szCs w:val="28"/>
          <w:shd w:fill="auto" w:val="clear"/>
        </w:rPr>
        <w:t xml:space="preserve">Особые отметки: </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2.2. Согласно Правил землепользования и застройки Владимиро-Александровского сельского поселения Партизанского муниципального района Приморского края, утвержденными решением муниципального комитета Владимиро-Александровского сельского поселения от 11.12.2013 № 47 (в ред. муниципальных правовых актов от 25.03.2016 № 263-МПА, от 13.06.2019 № 99-МПА, от 17.12.2020 № 263-МПА, от 29.07.2021 № 314-МПА, от 07.07.2022                        № 414-МПА, от 09.09.2022 № 424-МПА, от 29.09.2022 № 428-МПА,                          принятых решениями Думы Партизанского муниципального района Приморского края, муниципальных правовых актов от 29.06.2023 № 20-МПА, от 25.01.2024 № 128-МПА, от 15.02.2024 № 145-МПА, от 04.04.2024 № 185-МПА, от 11.12.2024 № 270-МПА, от 19.12.2024 № 275-МПА, от 22.05.2025 №321-МПА, принятых решениями Думы Партизанского муниципального округа Приморского края) земельные участки расположены в территориальной зоне — среднеэтажная жилая застройка (3 - 6 этажей) (ЖЗ 103), для которого установлен градостроительный регламент</w:t>
      </w:r>
      <w:r>
        <w:rPr>
          <w:rStyle w:val="FootnoteReference"/>
          <w:rFonts w:ascii="PT Astra Serif" w:hAnsi="PT Astra Serif"/>
          <w:b w:val="false"/>
          <w:bCs w:val="false"/>
          <w:color w:val="000000"/>
          <w:sz w:val="28"/>
          <w:szCs w:val="28"/>
          <w:shd w:fill="auto" w:val="clear"/>
        </w:rPr>
        <w:footnoteReference w:id="2"/>
      </w:r>
      <w:r>
        <w:rPr>
          <w:rFonts w:ascii="PT Astra Serif" w:hAnsi="PT Astra Serif"/>
          <w:b w:val="false"/>
          <w:bCs w:val="false"/>
          <w:color w:val="000000"/>
          <w:sz w:val="28"/>
          <w:szCs w:val="28"/>
          <w:shd w:fill="auto" w:val="clear"/>
        </w:rPr>
        <w:t>.</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Для вида разрешённого использования земельного участка «среднеэтажная жилая застройка» установлены следующие критерии: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1. Описание вида разрешённого использования земельного участка: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разделённых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xml:space="preserve">2. Предельные (минимальные и (или) максимальные) размеры земельных участков, в том числе их площадь: </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размеры земельных участков (минимальный размер по фронту застройки со стороны улиц)— 5 м;</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минимальная площадь земельных участков - 600 кв.м;</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максимальная площадь земельных участков — 2500 кв.м;</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со стороны улиц 5 м;</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предельное количество этажей зданий, строений, сооружений — 5 эт;</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предельная высота зданий, строений, сооружений - 14 м.</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pPr>
        <w:pStyle w:val="Normal"/>
        <w:widowControl w:val="false"/>
        <w:spacing w:lineRule="auto" w:line="240"/>
        <w:ind w:firstLine="601"/>
        <w:jc w:val="both"/>
        <w:rPr>
          <w:rFonts w:ascii="PT Astra Serif" w:hAnsi="PT Astra Serif"/>
          <w:sz w:val="28"/>
          <w:szCs w:val="28"/>
        </w:rPr>
      </w:pPr>
      <w:r>
        <w:rPr>
          <w:rFonts w:ascii="PT Astra Serif" w:hAnsi="PT Astra Serif"/>
          <w:b/>
          <w:bCs/>
          <w:color w:val="000000"/>
          <w:sz w:val="28"/>
          <w:szCs w:val="28"/>
        </w:rPr>
        <w:t>2.3.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содержится в</w:t>
      </w:r>
      <w:r>
        <w:rPr>
          <w:rFonts w:ascii="PT Astra Serif" w:hAnsi="PT Astra Serif"/>
          <w:b w:val="false"/>
          <w:bCs w:val="false"/>
          <w:color w:val="000000"/>
          <w:sz w:val="28"/>
          <w:szCs w:val="28"/>
          <w:shd w:fill="auto" w:val="clear"/>
        </w:rPr>
        <w:t xml:space="preserve"> </w:t>
      </w:r>
      <w:r>
        <w:rPr>
          <w:rFonts w:ascii="PT Astra Serif" w:hAnsi="PT Astra Serif"/>
          <w:b/>
          <w:bCs/>
          <w:color w:val="000000"/>
          <w:sz w:val="28"/>
          <w:szCs w:val="28"/>
          <w:shd w:fill="auto" w:val="clear"/>
        </w:rPr>
        <w:t>Приложении 3 к</w:t>
      </w:r>
      <w:r>
        <w:rPr>
          <w:rFonts w:ascii="PT Astra Serif" w:hAnsi="PT Astra Serif"/>
          <w:b/>
          <w:bCs/>
          <w:color w:val="000000"/>
          <w:sz w:val="28"/>
          <w:szCs w:val="28"/>
        </w:rPr>
        <w:t xml:space="preserve"> настоящему Извещению:</w:t>
      </w:r>
    </w:p>
    <w:p>
      <w:pPr>
        <w:pStyle w:val="Normal"/>
        <w:widowControl w:val="false"/>
        <w:tabs>
          <w:tab w:val="clear" w:pos="708"/>
          <w:tab w:val="left" w:pos="338" w:leader="none"/>
        </w:tabs>
        <w:spacing w:lineRule="auto" w:line="240"/>
        <w:ind w:firstLine="601"/>
        <w:jc w:val="both"/>
        <w:rPr>
          <w:highlight w:val="none"/>
          <w:shd w:fill="auto" w:val="clear"/>
        </w:rPr>
      </w:pPr>
      <w:r>
        <w:rPr>
          <w:rFonts w:ascii="PT Astra Serif" w:hAnsi="PT Astra Serif"/>
          <w:color w:val="000000"/>
          <w:sz w:val="28"/>
          <w:szCs w:val="28"/>
          <w:shd w:fill="auto" w:val="clear"/>
        </w:rPr>
        <w:t xml:space="preserve">1) </w:t>
      </w:r>
      <w:r>
        <w:rPr>
          <w:rFonts w:ascii="PT Astra Serif" w:hAnsi="PT Astra Serif"/>
          <w:b/>
          <w:bCs/>
          <w:color w:val="000000"/>
          <w:sz w:val="28"/>
          <w:szCs w:val="28"/>
          <w:shd w:fill="auto" w:val="clear"/>
        </w:rPr>
        <w:t>Сети водоснабжения и канализации</w:t>
      </w:r>
      <w:r>
        <w:rPr>
          <w:rFonts w:ascii="PT Astra Serif" w:hAnsi="PT Astra Serif"/>
          <w:color w:val="000000"/>
          <w:sz w:val="28"/>
          <w:szCs w:val="28"/>
          <w:shd w:fill="auto" w:val="clear"/>
        </w:rPr>
        <w:t>: Согласно Технических рекомендаций МКП «РХУ» Партизанского муниципального округа:</w:t>
      </w:r>
    </w:p>
    <w:p>
      <w:pPr>
        <w:pStyle w:val="Normal"/>
        <w:widowControl w:val="false"/>
        <w:tabs>
          <w:tab w:val="clear" w:pos="708"/>
          <w:tab w:val="left" w:pos="338" w:leader="none"/>
        </w:tabs>
        <w:spacing w:lineRule="auto" w:line="240"/>
        <w:ind w:firstLine="601"/>
        <w:jc w:val="both"/>
        <w:rPr>
          <w:highlight w:val="none"/>
          <w:shd w:fill="auto" w:val="clear"/>
        </w:rPr>
      </w:pPr>
      <w:r>
        <w:rPr>
          <w:rFonts w:ascii="PT Astra Serif" w:hAnsi="PT Astra Serif"/>
          <w:color w:val="000000"/>
          <w:sz w:val="28"/>
          <w:szCs w:val="28"/>
          <w:shd w:fill="auto" w:val="clear"/>
        </w:rPr>
        <w:t>1. Ближайшая точка подключения к сетям водоотведения от данного земельного участка, в существующий колодец, расположенный в 36 м к юго-западу по улице Комсомольская.</w:t>
      </w:r>
    </w:p>
    <w:p>
      <w:pPr>
        <w:pStyle w:val="Normal"/>
        <w:widowControl w:val="false"/>
        <w:tabs>
          <w:tab w:val="clear" w:pos="708"/>
          <w:tab w:val="left" w:pos="338" w:leader="none"/>
        </w:tabs>
        <w:spacing w:lineRule="auto" w:line="240"/>
        <w:ind w:firstLine="601"/>
        <w:jc w:val="both"/>
        <w:rPr>
          <w:highlight w:val="none"/>
          <w:shd w:fill="auto" w:val="clear"/>
        </w:rPr>
      </w:pPr>
      <w:r>
        <w:rPr>
          <w:rFonts w:ascii="PT Astra Serif" w:hAnsi="PT Astra Serif"/>
          <w:color w:val="000000"/>
          <w:sz w:val="28"/>
          <w:szCs w:val="28"/>
          <w:shd w:fill="auto" w:val="clear"/>
        </w:rPr>
        <w:t>2. Ближайшая точка подключения к сетям водоснабжения от данного земельного участка, в существующий колодец, расположенный в 123 м. к северо-западу по улице Комсомольская.</w:t>
      </w:r>
    </w:p>
    <w:p>
      <w:pPr>
        <w:pStyle w:val="Normal"/>
        <w:widowControl w:val="false"/>
        <w:tabs>
          <w:tab w:val="clear" w:pos="708"/>
          <w:tab w:val="left" w:pos="338" w:leader="none"/>
        </w:tabs>
        <w:spacing w:lineRule="auto" w:line="240"/>
        <w:ind w:firstLine="601"/>
        <w:jc w:val="both"/>
        <w:rPr>
          <w:highlight w:val="none"/>
          <w:shd w:fill="auto" w:val="clear"/>
        </w:rPr>
      </w:pPr>
      <w:r>
        <w:rPr>
          <w:rFonts w:ascii="PT Astra Serif" w:hAnsi="PT Astra Serif"/>
          <w:color w:val="000000"/>
          <w:sz w:val="28"/>
          <w:szCs w:val="28"/>
          <w:shd w:fill="auto" w:val="clear"/>
        </w:rPr>
        <w:t>3. В течение 1 года с момента получения данных технических рекомендаций правообладатель земельного участка должен обратиться в МКП «РХУ» ПМО с заявлением о заключении договора на подключение к централизованной системе холодного водоснабжения и водоотведения и  получить технические условия на подключение.</w:t>
      </w:r>
    </w:p>
    <w:p>
      <w:pPr>
        <w:pStyle w:val="Normal"/>
        <w:widowControl w:val="false"/>
        <w:tabs>
          <w:tab w:val="clear" w:pos="708"/>
          <w:tab w:val="left" w:pos="338" w:leader="none"/>
        </w:tabs>
        <w:spacing w:lineRule="auto" w:line="240"/>
        <w:ind w:firstLine="601"/>
        <w:jc w:val="both"/>
        <w:rPr>
          <w:highlight w:val="none"/>
          <w:shd w:fill="auto" w:val="clear"/>
        </w:rPr>
      </w:pPr>
      <w:r>
        <w:rPr>
          <w:rFonts w:ascii="PT Astra Serif" w:hAnsi="PT Astra Serif"/>
          <w:color w:val="000000"/>
          <w:sz w:val="28"/>
          <w:szCs w:val="28"/>
          <w:shd w:fill="auto" w:val="clear"/>
        </w:rPr>
        <w:t>В случае, если в течение 1 года с момента получения данных технических рекомендаций правообладатель земельного участка не обратится с заявлением о подключении в МКП «РХУ» ПМО, то срок действия данных технических рекомендаций прекращается.</w:t>
      </w:r>
    </w:p>
    <w:p>
      <w:pPr>
        <w:pStyle w:val="Normal"/>
        <w:widowControl w:val="false"/>
        <w:tabs>
          <w:tab w:val="clear" w:pos="708"/>
          <w:tab w:val="left" w:pos="338" w:leader="none"/>
        </w:tabs>
        <w:spacing w:lineRule="auto" w:line="240"/>
        <w:ind w:firstLine="601"/>
        <w:jc w:val="both"/>
        <w:rPr>
          <w:highlight w:val="none"/>
          <w:shd w:fill="auto" w:val="clear"/>
        </w:rPr>
      </w:pPr>
      <w:r>
        <w:rPr>
          <w:rFonts w:ascii="PT Astra Serif" w:hAnsi="PT Astra Serif"/>
          <w:color w:val="000000"/>
          <w:sz w:val="28"/>
          <w:szCs w:val="28"/>
          <w:shd w:fill="auto" w:val="clear"/>
        </w:rPr>
        <w:t>4. В связи с отсутствием в инвестиционной программе, для бесперебойного оказания услуг, необходимые для подключения к сетям водоснабжения в точке подключения на границе существующих сетей выполняются за счет средств правообладателя земельного участка.</w:t>
      </w:r>
    </w:p>
    <w:p>
      <w:pPr>
        <w:pStyle w:val="Normal"/>
        <w:widowControl w:val="false"/>
        <w:tabs>
          <w:tab w:val="clear" w:pos="708"/>
          <w:tab w:val="left" w:pos="338" w:leader="none"/>
        </w:tabs>
        <w:spacing w:lineRule="auto" w:line="240"/>
        <w:ind w:firstLine="601"/>
        <w:jc w:val="both"/>
        <w:rPr>
          <w:highlight w:val="none"/>
          <w:shd w:fill="auto" w:val="clear"/>
        </w:rPr>
      </w:pPr>
      <w:r>
        <w:rPr>
          <w:rFonts w:ascii="PT Astra Serif" w:hAnsi="PT Astra Serif"/>
          <w:color w:val="000000"/>
          <w:sz w:val="28"/>
          <w:szCs w:val="28"/>
          <w:shd w:fill="auto" w:val="clear"/>
        </w:rPr>
        <w:t>5. Состав и стоимость вышеуказанных работ определяется на основании условий МКП «РХУ» ПМО на подключение объекта капитального строительства к сетям водоснабжения и регламентируются заключаемым в случае выдачи условий на подключение договором.</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xml:space="preserve">2) </w:t>
      </w:r>
      <w:r>
        <w:rPr>
          <w:rFonts w:ascii="PT Astra Serif" w:hAnsi="PT Astra Serif"/>
          <w:b/>
          <w:bCs/>
          <w:color w:val="000000"/>
          <w:sz w:val="28"/>
          <w:szCs w:val="28"/>
          <w:shd w:fill="auto" w:val="clear"/>
        </w:rPr>
        <w:t>Сети теплоснабжения:</w:t>
      </w:r>
      <w:r>
        <w:rPr>
          <w:rFonts w:ascii="PT Astra Serif" w:hAnsi="PT Astra Serif"/>
          <w:color w:val="000000"/>
          <w:sz w:val="28"/>
          <w:szCs w:val="28"/>
          <w:shd w:fill="auto" w:val="clear"/>
        </w:rPr>
        <w:t xml:space="preserve"> согласно письму КГУП «ПРИМТЕПЛОЭНЕРГО» Партизанский филиал, подключение к централизованным сетям теплоснабжения не предоставляется возможно. Количество отпускаемой теплоэнергии предварительно составляет 0,15 Гкал.</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xml:space="preserve">3) </w:t>
      </w:r>
      <w:r>
        <w:rPr>
          <w:rFonts w:ascii="PT Astra Serif" w:hAnsi="PT Astra Serif"/>
          <w:b/>
          <w:bCs/>
          <w:color w:val="000000"/>
          <w:sz w:val="28"/>
          <w:szCs w:val="28"/>
          <w:shd w:fill="auto" w:val="clear"/>
        </w:rPr>
        <w:t>Сети электроснабжения</w:t>
      </w:r>
      <w:r>
        <w:rPr>
          <w:rFonts w:ascii="PT Astra Serif" w:hAnsi="PT Astra Serif"/>
          <w:color w:val="000000"/>
          <w:sz w:val="28"/>
          <w:szCs w:val="28"/>
          <w:shd w:fill="auto" w:val="clear"/>
        </w:rPr>
        <w:t>:</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Согласно письму АО «Дальневосточная распределительная сетевая компания» филиал «Приморские электрические сети» структурное подразделение «Приморские южные электрические сети», для электроснабжения объекта на данном земельном участке, выполнить подключение от существующей ВЛ-0,4 кВ ф.4 ТП 7008 ВЛ 6 кВ ф.5 ПС 35/6 Владимиро-Александровское.</w:t>
      </w:r>
    </w:p>
    <w:p>
      <w:pPr>
        <w:pStyle w:val="Normal"/>
        <w:widowControl w:val="false"/>
        <w:spacing w:lineRule="auto" w:line="240"/>
        <w:ind w:firstLine="601"/>
        <w:jc w:val="both"/>
        <w:rPr>
          <w:highlight w:val="none"/>
          <w:shd w:fill="auto" w:val="clear"/>
        </w:rPr>
      </w:pPr>
      <w:r>
        <w:rPr>
          <w:rFonts w:ascii="PT Astra Serif" w:hAnsi="PT Astra Serif"/>
          <w:sz w:val="28"/>
          <w:szCs w:val="28"/>
          <w:shd w:fill="auto" w:val="clear"/>
        </w:rPr>
        <w:t>По договору об осуществлении технологического присоединения сетевая организация выполняет мероприятия до границы участка заявителя.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Обращаю Ваше внимание на то, что данные мероприятия технологического присоединения являются предварительными и подлежат уточнению после подачи в адрес филиала заявки на технологическое присоединение с приложением необходимых документов владельца-заявителя.</w:t>
      </w:r>
    </w:p>
    <w:p>
      <w:pPr>
        <w:pStyle w:val="Normal"/>
        <w:widowControl w:val="false"/>
        <w:spacing w:lineRule="auto" w:line="240"/>
        <w:ind w:firstLine="601"/>
        <w:jc w:val="both"/>
        <w:rPr>
          <w:highlight w:val="none"/>
          <w:shd w:fill="auto" w:val="clear"/>
        </w:rPr>
      </w:pPr>
      <w:r>
        <w:rPr>
          <w:rFonts w:ascii="PT Astra Serif" w:hAnsi="PT Astra Serif"/>
          <w:b/>
          <w:bCs/>
          <w:color w:val="000000"/>
          <w:sz w:val="28"/>
          <w:szCs w:val="28"/>
          <w:shd w:fill="auto" w:val="clear"/>
        </w:rPr>
        <w:t xml:space="preserve">2.4. Начальная цена </w:t>
      </w:r>
      <w:r>
        <w:rPr>
          <w:rFonts w:ascii="PT Astra Serif" w:hAnsi="PT Astra Serif"/>
          <w:b w:val="false"/>
          <w:bCs w:val="false"/>
          <w:color w:val="000000"/>
          <w:sz w:val="28"/>
          <w:szCs w:val="28"/>
          <w:shd w:fill="auto" w:val="clear"/>
        </w:rPr>
        <w:t>предмета аукциона на право заключения договора аренды земельного участка (размер ежегодной арендной платы за пользование земельным участком) – 1 038 100 (один миллион тридцать восемь тысяч сто) рублей 00 копейки.</w:t>
      </w:r>
    </w:p>
    <w:p>
      <w:pPr>
        <w:pStyle w:val="Normal"/>
        <w:widowControl w:val="false"/>
        <w:spacing w:lineRule="auto" w:line="240"/>
        <w:ind w:firstLine="601"/>
        <w:jc w:val="both"/>
        <w:rPr/>
      </w:pPr>
      <w:r>
        <w:rPr>
          <w:rFonts w:ascii="PT Astra Serif" w:hAnsi="PT Astra Serif"/>
          <w:b w:val="false"/>
          <w:bCs w:val="false"/>
          <w:color w:val="000000"/>
          <w:sz w:val="28"/>
          <w:szCs w:val="28"/>
          <w:shd w:fill="auto" w:val="clear"/>
        </w:rPr>
        <w:t>Сумма задатка определена в размере 10% от начальной цены предмета аукциона на земельный участок, что составляет 103 810 (сто три тысячи восемьсот десять) рублей 00 копеек.</w:t>
      </w:r>
    </w:p>
    <w:p>
      <w:pPr>
        <w:pStyle w:val="Normal"/>
        <w:widowControl w:val="false"/>
        <w:spacing w:lineRule="auto" w:line="240"/>
        <w:ind w:firstLine="601"/>
        <w:jc w:val="both"/>
        <w:rPr/>
      </w:pPr>
      <w:r>
        <w:rPr>
          <w:rFonts w:ascii="PT Astra Serif" w:hAnsi="PT Astra Serif"/>
          <w:b w:val="false"/>
          <w:bCs w:val="false"/>
          <w:color w:val="000000"/>
          <w:sz w:val="28"/>
          <w:szCs w:val="28"/>
          <w:shd w:fill="auto" w:val="clear"/>
        </w:rPr>
        <w:t>«Шаг аукциона» равен 5 % от начальной цены предмета аукциона и составляет 51 905 (пятьдесят одна тысяча девятьсот пять) рублей 00 копеек.</w:t>
      </w:r>
    </w:p>
    <w:p>
      <w:pPr>
        <w:pStyle w:val="Normal"/>
        <w:widowControl w:val="false"/>
        <w:spacing w:lineRule="auto" w:line="240"/>
        <w:ind w:firstLine="601"/>
        <w:jc w:val="both"/>
        <w:rPr>
          <w:rFonts w:ascii="PT Astra Serif" w:hAnsi="PT Astra Serif"/>
          <w:sz w:val="28"/>
          <w:szCs w:val="28"/>
        </w:rPr>
      </w:pPr>
      <w:r>
        <w:rPr>
          <w:rFonts w:ascii="PT Astra Serif" w:hAnsi="PT Astra Serif"/>
          <w:b/>
          <w:bCs/>
          <w:color w:val="000000"/>
          <w:sz w:val="28"/>
          <w:szCs w:val="28"/>
        </w:rPr>
        <w:t>Цена предмета аукциона</w:t>
      </w:r>
      <w:r>
        <w:rPr>
          <w:rFonts w:ascii="PT Astra Serif" w:hAnsi="PT Astra Serif"/>
          <w:b w:val="false"/>
          <w:bCs w:val="false"/>
          <w:color w:val="000000"/>
          <w:sz w:val="28"/>
          <w:szCs w:val="28"/>
        </w:rPr>
        <w:t xml:space="preserve"> (размер арендной платы указанного земельного участка в год) - согласно протоколу о результатах аукциона на право заключения договора аренды земельного участка, но не ниже начальной цены предмета аукциона (начального размера арендной платы за земельный участок), перечисляется покупателем в порядке и сроки, установленные договором аренды земельного участка по реквизитам, указанным в договоре аренды земельного участка. Сумма задатка засчитывается в счет оплаты заявителем, признанным победителем аукциона, арендной платы за земельный участок.</w:t>
      </w:r>
    </w:p>
    <w:p>
      <w:pPr>
        <w:pStyle w:val="Normal"/>
        <w:widowControl w:val="false"/>
        <w:spacing w:lineRule="auto" w:line="240"/>
        <w:ind w:firstLine="601"/>
        <w:jc w:val="both"/>
        <w:rPr>
          <w:rFonts w:ascii="PT Astra Serif" w:hAnsi="PT Astra Serif"/>
          <w:b w:val="false"/>
          <w:bCs w:val="false"/>
          <w:color w:val="000000"/>
          <w:sz w:val="28"/>
          <w:szCs w:val="28"/>
        </w:rPr>
      </w:pPr>
      <w:r>
        <w:rPr>
          <w:rFonts w:ascii="PT Astra Serif" w:hAnsi="PT Astra Serif"/>
          <w:b w:val="false"/>
          <w:bCs w:val="false"/>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rPr>
        <w:t>3. Место, сроки и время подачи заявок на участие в аукционе, рассмотрения заявок, проведения и подведения итогов аукциона.</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3.1. В настоящем информационном сообщении указывается местное время (по г. Владивостоку) и московское время, в котором функционирует электронная площадка. Время фиксируется по времени сервера, на котором функционирует электронная площадка.</w:t>
      </w:r>
    </w:p>
    <w:p>
      <w:pPr>
        <w:pStyle w:val="Normal"/>
        <w:widowControl w:val="false"/>
        <w:spacing w:lineRule="auto" w:line="240"/>
        <w:ind w:firstLine="601"/>
        <w:jc w:val="both"/>
        <w:rPr/>
      </w:pPr>
      <w:r>
        <w:rPr>
          <w:rFonts w:ascii="PT Astra Serif" w:hAnsi="PT Astra Serif"/>
          <w:b w:val="false"/>
          <w:bCs w:val="false"/>
          <w:color w:val="000000"/>
          <w:sz w:val="28"/>
          <w:szCs w:val="28"/>
          <w:shd w:fill="auto" w:val="clear"/>
        </w:rPr>
        <w:t xml:space="preserve">3.2. Место подачи заявок, проведения аукциона и подведения итогов аукциона – электронная площадка ООО «РТС-тендер» </w:t>
      </w:r>
      <w:hyperlink r:id="rId5">
        <w:r>
          <w:rPr>
            <w:rStyle w:val="Hyperlink"/>
            <w:rFonts w:ascii="PT Astra Serif" w:hAnsi="PT Astra Serif"/>
            <w:b w:val="false"/>
            <w:bCs w:val="false"/>
            <w:color w:val="000000"/>
            <w:sz w:val="28"/>
            <w:szCs w:val="28"/>
            <w:shd w:fill="auto" w:val="clear"/>
          </w:rPr>
          <w:t>https://www.rts-tender.ru/</w:t>
        </w:r>
      </w:hyperlink>
      <w:r>
        <w:rPr>
          <w:rFonts w:ascii="PT Astra Serif" w:hAnsi="PT Astra Serif"/>
          <w:b w:val="false"/>
          <w:bCs w:val="false"/>
          <w:color w:val="000000"/>
          <w:sz w:val="28"/>
          <w:szCs w:val="28"/>
          <w:shd w:fill="auto" w:val="clear"/>
        </w:rPr>
        <w:t>.</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3.3. Дата и время начала подачи заявок - 25 июня 2025 года в 07 часов 00 минут</w:t>
      </w:r>
      <w:r>
        <w:rPr>
          <w:rFonts w:ascii="PT Astra Serif" w:hAnsi="PT Astra Serif"/>
          <w:b/>
          <w:bCs/>
          <w:color w:val="000000"/>
          <w:sz w:val="28"/>
          <w:szCs w:val="28"/>
          <w:shd w:fill="auto" w:val="clear"/>
        </w:rPr>
        <w:t xml:space="preserve"> </w:t>
      </w:r>
      <w:r>
        <w:rPr>
          <w:rFonts w:ascii="PT Astra Serif" w:hAnsi="PT Astra Serif"/>
          <w:b w:val="false"/>
          <w:bCs w:val="false"/>
          <w:color w:val="000000"/>
          <w:sz w:val="28"/>
          <w:szCs w:val="28"/>
          <w:shd w:fill="auto" w:val="clear"/>
        </w:rPr>
        <w:t>по местному времени (00 часов 00 минут по московскому времени).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3.4. Дата и время окончания подачи заявок - 08 июля 2025 года в 17 часов 00 минут по местному времени (10 часов 00 минут по московскому времени).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3.5. Дата рассмотрения заявок на участие в аукционе – 09 июля 2025 года.</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3.6. Дата и время проведения аукциона – 11 июля 2025 года в 10 часов 00 минут по местному времени (03 часа 00 минут по московскому времени).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3.7. Подведение итогов аукциона: процедура аукциона считается завершенной со времени подписания продавцом протокола об итогах аукциона.</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rPr>
        <w:t>4. Порядок ознакомления с извещением, условиями договора аренды. Осмотр земельного участка</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pPr>
      <w:r>
        <w:rPr>
          <w:rFonts w:ascii="PT Astra Serif" w:hAnsi="PT Astra Serif"/>
          <w:b w:val="false"/>
          <w:bCs w:val="false"/>
          <w:color w:val="000000"/>
          <w:sz w:val="28"/>
          <w:szCs w:val="28"/>
        </w:rPr>
        <w:t xml:space="preserve">4.1. Извещение об аукционе размещается на официальном сайте торгов (ГИС Торги) https://torgi.gov.ru/, официальном сайте администрации  Партизанского муниципального округа </w:t>
      </w:r>
      <w:hyperlink r:id="rId6">
        <w:r>
          <w:rPr>
            <w:rStyle w:val="Hyperlink"/>
            <w:rFonts w:ascii="PT Astra Serif" w:hAnsi="PT Astra Serif"/>
            <w:b w:val="false"/>
            <w:bCs w:val="false"/>
            <w:sz w:val="28"/>
            <w:szCs w:val="28"/>
          </w:rPr>
          <w:t>http://rayon.partizansky.ru/</w:t>
        </w:r>
      </w:hyperlink>
      <w:r>
        <w:rPr>
          <w:rFonts w:ascii="PT Astra Serif" w:hAnsi="PT Astra Serif"/>
          <w:b w:val="false"/>
          <w:bCs w:val="false"/>
          <w:color w:val="000000"/>
          <w:sz w:val="28"/>
          <w:szCs w:val="28"/>
        </w:rPr>
        <w:t xml:space="preserve"> и на электронной площадке https://www.rts-tender.ru/. Вместе с извещением размещается форма заявки на участие в аукционе, проект договора аренды земельного участка, иная информация, относящаяся к аукциону/ предмету аукциона. С извещением можно ознакомиться, начиная с даты размещения извещения на официальном сайте торгов до даты окончания срока приема заявок на участие в аукционе на вышеуказанных сайтах в информационно-телекоммуникационной сети «Интернет».</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4.2. С условиями договора аренды земельного участка, заключаемого по результатам проведения аукциона, можно ознакомиться со дня начала приема заявок до даты окончания срока приема заявок на участие в аукционе на официальном сайте торгов, официальном сайте администрации Партизанского муниципального округа и на электронной площадке.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i w:val="false"/>
          <w:iCs w:val="false"/>
          <w:color w:val="000000"/>
          <w:sz w:val="28"/>
          <w:szCs w:val="28"/>
          <w:shd w:fill="auto" w:val="clear"/>
        </w:rPr>
        <w:t>4.3. 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 Такой запрос в режиме реального времени направляется в «личный кабинет» организатора аукциона для рассмотрения.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4.4. Любое заинтересованное лицо со дня начала приема заявок вправе до даты окончания срока приема заявок на участие в аукционе осмотреть земельный участок, являющийся предметом аукциона. Запрос на осмотр земельного участка должен быть направлен в адрес организатора аукциона  одним из следующих способов: по почте (692962, Приморский край, Партизанский муниципальный округ, с. Владимиро-Александровское,                      ул. Комсомольская, д. 45 А); на адрес электронной почты:adm@partizansky.ru, посредством телефонной связи: 8-42365-21-0-88, не позднее чем за два рабочих дня до даты окончания срока подачи заявок на участие в аукционе. Организатор аукциона обеспечивает желающим доступ на земельный участок, возможность проведения фото- и видеосъемки.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4.5. Решение об отказе от проведения аукциона может быть принято организатором аукциона в соответствии с Земельным кодексом РФ. Извещение об отказе в проведении аукциона в течение трех дней со дня принятия данного решения размещается на официальном сайте торгов с последующей интеграцией на электронную торговую площадку. Уведомление заявителей об отказе в проведении аукциона и возврат задатков осуществляет оператор электронной площадки.</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rPr>
        <w:t>5. Требования к заявителям</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pPr>
      <w:r>
        <w:rPr>
          <w:rFonts w:ascii="PT Astra Serif" w:hAnsi="PT Astra Serif"/>
          <w:b w:val="false"/>
          <w:bCs w:val="false"/>
          <w:color w:val="000000"/>
          <w:sz w:val="28"/>
          <w:szCs w:val="28"/>
        </w:rPr>
        <w:t>5.1. Заявителем на участие в аукционе может быть любое лицо, претендующее на заключение договора аренды земельного участка, имеющий усиленную квалифицированную электронную подпись, оформленную в соответствии с требованиями действующего законодательства удостоверяющим центром, и прошедший регистрацию (аккредитацию) на электронной площадке в соответствии с Регламентом электронной площадки (</w:t>
      </w:r>
      <w:hyperlink r:id="rId7">
        <w:r>
          <w:rPr>
            <w:rStyle w:val="Hyperlink"/>
            <w:rFonts w:ascii="PT Astra Serif" w:hAnsi="PT Astra Serif"/>
            <w:b w:val="false"/>
            <w:bCs w:val="false"/>
            <w:color w:val="000000"/>
            <w:sz w:val="28"/>
            <w:szCs w:val="28"/>
          </w:rPr>
          <w:t>https://www.rts-tender.ru/Portals/0/Files/library/docs/reglament-property-sales-07022025.pdf</w:t>
        </w:r>
      </w:hyperlink>
      <w:r>
        <w:rPr>
          <w:rFonts w:ascii="PT Astra Serif" w:hAnsi="PT Astra Serif"/>
          <w:b w:val="false"/>
          <w:bCs w:val="false"/>
          <w:color w:val="000000"/>
          <w:sz w:val="28"/>
          <w:szCs w:val="28"/>
        </w:rPr>
        <w:t>).</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rPr>
        <w:t>6. Порядок регистрации на электронной площадке</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pPr>
      <w:r>
        <w:rPr>
          <w:rFonts w:ascii="PT Astra Serif" w:hAnsi="PT Astra Serif"/>
          <w:b w:val="false"/>
          <w:bCs w:val="false"/>
          <w:color w:val="000000"/>
          <w:sz w:val="28"/>
          <w:szCs w:val="28"/>
        </w:rPr>
        <w:t>6.1. Для обеспечения доступа к участию в электронном аукционе заявителям необходимо пройти процедуру регистрации в реестре участников торгов на Официальном сайте торгов www.torgi.gov.ru (ГИС Торги) или первичную регистрации в соответствии с Регламентом  электронной  площадки  оператора (</w:t>
      </w:r>
      <w:hyperlink r:id="rId8">
        <w:r>
          <w:rPr>
            <w:rStyle w:val="Hyperlink"/>
            <w:rFonts w:ascii="PT Astra Serif" w:hAnsi="PT Astra Serif"/>
            <w:b w:val="false"/>
            <w:bCs w:val="false"/>
            <w:color w:val="000000"/>
            <w:sz w:val="28"/>
            <w:szCs w:val="28"/>
          </w:rPr>
          <w:t>https://www.rts-tender.ru/Portals/0/Files/library/docs/reglament-property-sales-07022025.pdf</w:t>
        </w:r>
      </w:hyperlink>
      <w:r>
        <w:rPr>
          <w:rFonts w:ascii="PT Astra Serif" w:hAnsi="PT Astra Serif"/>
          <w:b w:val="false"/>
          <w:bCs w:val="false"/>
          <w:color w:val="000000"/>
          <w:sz w:val="28"/>
          <w:szCs w:val="28"/>
        </w:rPr>
        <w:t>).</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 xml:space="preserve">6.2. Регистрация на электронной площадке заявителей осуществляется ежедневно, круглосуточно в соответствии с Регламентом электронной площадки. </w:t>
      </w:r>
      <w:r>
        <w:rPr>
          <w:rFonts w:ascii="PT Astra Serif" w:hAnsi="PT Astra Serif"/>
          <w:b w:val="false"/>
          <w:bCs w:val="false"/>
          <w:i w:val="false"/>
          <w:iCs w:val="false"/>
          <w:color w:val="000000"/>
          <w:sz w:val="28"/>
          <w:szCs w:val="28"/>
          <w:shd w:fill="auto" w:val="clear"/>
        </w:rPr>
        <w:t xml:space="preserve">Регистрация на электронной площадке осуществляется без взимания платы. </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6.3.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6.4. Для прохождения процедуры регистрации заявителю необходимо иметь ЭП, усиленную квалифицированную электронную подпись, оформленную в соответствии с требованиями действующего законодательства удостоверяющим центром.</w:t>
      </w:r>
    </w:p>
    <w:p>
      <w:pPr>
        <w:pStyle w:val="Normal"/>
        <w:widowControl w:val="false"/>
        <w:spacing w:lineRule="auto" w:line="240"/>
        <w:ind w:firstLine="601"/>
        <w:jc w:val="both"/>
        <w:rPr>
          <w:rFonts w:ascii="PT Astra Serif" w:hAnsi="PT Astra Serif"/>
          <w:b/>
          <w:bCs/>
          <w:color w:val="000000"/>
          <w:sz w:val="28"/>
          <w:szCs w:val="28"/>
          <w:highlight w:val="none"/>
          <w:shd w:fill="FFFF00" w:val="clear"/>
        </w:rPr>
      </w:pPr>
      <w:r>
        <w:rPr>
          <w:rFonts w:ascii="PT Astra Serif" w:hAnsi="PT Astra Serif"/>
          <w:b/>
          <w:bCs/>
          <w:color w:val="000000"/>
          <w:sz w:val="28"/>
          <w:szCs w:val="28"/>
          <w:shd w:fill="FFFF00" w:val="clear"/>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7. Порядок приема заявок на участие в аукционе, форма заявки,</w:t>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перечень документов, необходимых для участия в аукционе</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7.1. Аукцион является открытым по составу участников.</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7.2. Прием заявок и прилагаемых к ним документов начинается с даты и времени, указанных в извещении и осуществляется в течение всего периода, указанного в извещении.</w:t>
      </w:r>
    </w:p>
    <w:p>
      <w:pPr>
        <w:pStyle w:val="Normal"/>
        <w:widowControl w:val="false"/>
        <w:spacing w:lineRule="auto" w:line="240"/>
        <w:ind w:firstLine="601"/>
        <w:jc w:val="both"/>
        <w:rPr/>
      </w:pPr>
      <w:r>
        <w:rPr>
          <w:rFonts w:ascii="PT Astra Serif" w:hAnsi="PT Astra Serif"/>
          <w:b w:val="false"/>
          <w:bCs w:val="false"/>
          <w:color w:val="000000"/>
          <w:sz w:val="28"/>
          <w:szCs w:val="28"/>
          <w:shd w:fill="auto" w:val="clear"/>
        </w:rPr>
        <w:t xml:space="preserve">7.3. Подача заявки на участие в аукционе осуществляется на электронной площадке ООО «РТС-тендер» </w:t>
      </w:r>
      <w:hyperlink r:id="rId9">
        <w:r>
          <w:rPr>
            <w:rStyle w:val="Hyperlink"/>
            <w:rFonts w:ascii="PT Astra Serif" w:hAnsi="PT Astra Serif"/>
            <w:b w:val="false"/>
            <w:bCs w:val="false"/>
            <w:color w:val="000000"/>
            <w:sz w:val="28"/>
            <w:szCs w:val="28"/>
            <w:shd w:fill="auto" w:val="clear"/>
          </w:rPr>
          <w:t>https://www.rts-tender.ru/</w:t>
        </w:r>
      </w:hyperlink>
      <w:r>
        <w:rPr>
          <w:rFonts w:ascii="PT Astra Serif" w:hAnsi="PT Astra Serif"/>
          <w:b w:val="false"/>
          <w:bCs w:val="false"/>
          <w:color w:val="000000"/>
          <w:sz w:val="28"/>
          <w:szCs w:val="28"/>
          <w:shd w:fill="auto" w:val="clear"/>
        </w:rPr>
        <w:t xml:space="preserve"> «Имущественные торги» через личный кабинет заявителя (зарегистрированного лица). Одно лицо имеет право подать только одну заявку на участие в аукционе.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7.4.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 копии документов, удостоверяющих личность заявителя (всех страниц документа)</w:t>
      </w:r>
      <w:r>
        <w:rPr>
          <w:rStyle w:val="FootnoteReference"/>
          <w:rFonts w:ascii="PT Astra Serif" w:hAnsi="PT Astra Serif"/>
          <w:b w:val="false"/>
          <w:bCs w:val="false"/>
          <w:color w:val="000000"/>
          <w:sz w:val="28"/>
          <w:szCs w:val="28"/>
          <w:shd w:fill="auto" w:val="clear"/>
        </w:rPr>
        <w:footnoteReference w:id="3"/>
      </w:r>
      <w:r>
        <w:rPr>
          <w:rFonts w:ascii="PT Astra Serif" w:hAnsi="PT Astra Serif"/>
          <w:b w:val="false"/>
          <w:bCs w:val="false"/>
          <w:color w:val="000000"/>
          <w:sz w:val="28"/>
          <w:szCs w:val="28"/>
          <w:shd w:fill="auto" w:val="clear"/>
        </w:rPr>
        <w:t xml:space="preserve"> (для граждан);</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2) </w:t>
      </w:r>
      <w:r>
        <w:rPr>
          <w:rFonts w:ascii="PT Astra Serif" w:hAnsi="PT Astra Serif"/>
          <w:b w:val="false"/>
          <w:bCs w:val="false"/>
          <w:i w:val="false"/>
          <w:iCs w:val="false"/>
          <w:color w:val="000000"/>
          <w:sz w:val="28"/>
          <w:szCs w:val="28"/>
          <w:shd w:fill="auto" w:val="clear"/>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3) документы, подтверждающие внесение задатка. В случае подачи заявки представителем заявителя предъявляется доверенность на лицо, имеющее право действовать от имени заявителя, оформленная в соответствии с требованиями, установленными гражданским законодательством.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Форма заявки на участие в аукционе содержится в извещении (Приложение № 1) и является обязательной для заполнения.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7.5. Сведения, которые содержатся в заявке с прилагаемыми к ней документами, не должны допускать двусмысленного толкования. Ответственность за достоверность представленной информации и документов несет заявитель.</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7.6.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7.7. Весь документооборот между заявителями, участниками, оператором и организатором аукциона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заявителя, участника, организатора аукциона либо лица, имеющего право действовать от имени соответственно заявителя, участника, организатора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Наличие электронной подписи означает, что документы и сведения, поданные в форме электронных документов, направлены от имени соответственно заявителя, участника,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8. Порядок внесения и возврата задатка</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8.1. Задатки единым платежом перечисляются на реквизиты оператора электронной площадки. Срок зачисления денежных средств на лицевой счет пользователя на торговой платформе «РТС – тендер» https://www.rts-tender.ru от 1 до 3 рабочих дней со дня перечисления денежных средств. Задаток перечисляется до подачи заявки.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Задаток для участия в аукционе служит обеспечением исполнения обязательства победителя аукциона по заключению договоров аренды, вносится на расчетный счет Заявителя, открытый при регистрации на электронной площадке в порядке, установленном Регламентом электронной площадки.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Платежи по перечислению задатка для участи в аукционе, и порядок возврата осуществляется в соответствии с Регламентом электронной площадки.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Задаток должен поступить на указанный счет до 08 июля 2025 года в 17 часов 00 минут по местному времени (10 часов 00 минут по московскому времени).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При уклонении или отказе победителя торгов от заключения в установленный срок договора аренды земельного участка результаты аукциона аннулируются, победитель утрачивает право на заключение указанного договора, задаток ему не возвращается.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Задаток возвращается: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претенденту, не допущенному к участию в аукционе - в течение 3 рабочих дней со дня оформления протокола о приеме заявок на участие в аукционе;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-участникам несостоявшихся торгов – в течение 3 рабочих дней со дня подписания протокола о результатах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Задаток, внесенный лицом, признанным победителем, засчитывается в оплату приобретаемого земельного участка. </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Денежные средства, поступившие от третьих лиц, не зачисляются.</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9. Рассмотрение заявок на участие в аукционе</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9.1. Срок рассмотрения заявок на участие в аукционе не может превышать три рабочих дня с даты окончания срока приема документов.</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9.2. Заявитель не допускается к участию в аукционе в следующих случаях:</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 непредставление необходимых для участия в аукционе документов или представление недостоверных сведений;</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2) не поступление задатка на дату рассмотрения заявок на участие в аукционе;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3) подача заявки на участие в аукционе лицом, которое в соответствии с действующим законодательством РФ не имеет права быть участником конкретного аукциона, приобрести земельный участок в аренду;</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4) наличие сведений о заявителе в реестре недобросовестных участников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9.3.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9.4. Протокол рассмотрения заявок на участие в электронном аукционе подписывается не позднее чем в течение одного дня со дня их рассмотрения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w:t>
      </w:r>
      <w:r>
        <w:rPr>
          <w:rFonts w:ascii="PT Astra Serif" w:hAnsi="PT Astra Serif"/>
          <w:b w:val="false"/>
          <w:bCs w:val="false"/>
          <w:i w:val="false"/>
          <w:iCs w:val="false"/>
          <w:color w:val="000000"/>
          <w:sz w:val="28"/>
          <w:szCs w:val="28"/>
          <w:u w:val="none"/>
          <w:shd w:fill="auto" w:val="clear"/>
        </w:rPr>
        <w:t>официальном сайте.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9.5.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9.6.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9.7.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два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9.8.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10. Порядок проведения аукциона</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10.1. Аукцион состоится в указанный в извещении день и час на электронной торговой площадке ООО «РТС-тендер» https://www.rts-tender.ru/. В аукционе имеют право участвовать только заявители, допущенные к участию в аукционе.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10.2. В ходе проведения аукциона участники аукциона подают предложения о цене предмета аукциона в соответствии со следующими требованиями: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 предложение о цене предмета аукциона увеличивает текущее максимальное предложение о цене предмета аукциона на величину «шага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i w:val="false"/>
          <w:iCs w:val="false"/>
          <w:color w:val="000000"/>
          <w:sz w:val="28"/>
          <w:szCs w:val="28"/>
          <w:u w:val="none"/>
          <w:shd w:fill="auto" w:val="clear"/>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10.3.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10.4. Победителем аукциона признается участник аукциона, предложивший наибольший размер ежегодной арендной платы за земельный участок.</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10.5. Протокол проведения электронного аукциона </w:t>
      </w:r>
      <w:r>
        <w:rPr>
          <w:rFonts w:ascii="PT Astra Serif" w:hAnsi="PT Astra Serif"/>
          <w:b w:val="false"/>
          <w:bCs w:val="false"/>
          <w:i w:val="false"/>
          <w:iCs w:val="false"/>
          <w:color w:val="000000"/>
          <w:sz w:val="28"/>
          <w:szCs w:val="28"/>
          <w:u w:val="none"/>
          <w:shd w:fill="auto" w:val="clear"/>
        </w:rPr>
        <w:t xml:space="preserve">подписывается оператором электронной площадки и размещается им на электронной площадке в течение одного часа после окончания электронного аукциона. </w:t>
      </w:r>
      <w:r>
        <w:rPr>
          <w:rFonts w:ascii="PT Astra Serif" w:hAnsi="PT Astra Serif"/>
          <w:b w:val="false"/>
          <w:bCs w:val="false"/>
          <w:color w:val="000000"/>
          <w:sz w:val="28"/>
          <w:szCs w:val="28"/>
          <w:shd w:fill="auto" w:val="clear"/>
        </w:rPr>
        <w:t>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Протокол о результатах электронного аукциона после его размещения на электронной площадке в автоматическом режиме направляется </w:t>
      </w:r>
      <w:r>
        <w:rPr>
          <w:rFonts w:ascii="PT Astra Serif" w:hAnsi="PT Astra Serif"/>
          <w:b w:val="false"/>
          <w:bCs w:val="false"/>
          <w:i w:val="false"/>
          <w:iCs w:val="false"/>
          <w:color w:val="000000"/>
          <w:sz w:val="28"/>
          <w:szCs w:val="28"/>
          <w:u w:val="none"/>
          <w:shd w:fill="auto" w:val="clear"/>
        </w:rPr>
        <w:t>оператором электронной площадки для размещения на официальном сайте.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10.6.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u w:val="none"/>
          <w:shd w:fill="FFFFFF" w:val="clear"/>
        </w:rPr>
        <w:t>11. Заключение договора аренды земельного участка</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 xml:space="preserve">11.1. 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w:t>
      </w:r>
      <w:r>
        <w:rPr>
          <w:rFonts w:ascii="PT Astra Serif" w:hAnsi="PT Astra Serif"/>
          <w:b w:val="false"/>
          <w:bCs w:val="false"/>
          <w:color w:val="000000"/>
          <w:sz w:val="28"/>
          <w:szCs w:val="28"/>
          <w:u w:val="none"/>
          <w:shd w:fill="auto" w:val="clear"/>
        </w:rPr>
        <w:t>либо протокола о результатах электронного аукциона на официальном сайте.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11.2. Не допускается заключение договора аренды земельного участка, не соответствующего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11.3. Уполномоченный орган обязан в течение пяти дней со дня истечения срока, предусмотренного пунктом 11.1. настоящего извещения, направить победителю электронного аукциона или иным лицам, с которыми заключение договора предусмотрено пунктами 13, 14, 20 и 25 статьи 39.12 Земельного кодекса РФ, подписанный проект договора аренды земельного участка.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11.4. 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11.5.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11.6.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11.7.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 При этом условия повторного аукциона могут быть изменены.</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11.8. В случае, если победитель аукциона или иное лицо, с которым договор аренды земельного участка заключается в соответствии с пунктом 13, 14 или 20 статьи 39.12 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sectPr>
      <w:footnotePr>
        <w:numFmt w:val="decimal"/>
      </w:footnotePr>
      <w:type w:val="nextPage"/>
      <w:pgSz w:w="11906" w:h="16838"/>
      <w:pgMar w:left="1701" w:right="566" w:gutter="0" w:header="0" w:top="284" w:footer="0" w:bottom="56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Arial">
    <w:charset w:val="01"/>
    <w:family w:val="roman"/>
    <w:pitch w:val="default"/>
  </w:font>
  <w:font w:name="Symbol">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Style17"/>
        </w:rPr>
        <w:footnoteRef/>
      </w:r>
      <w:r>
        <w:rPr/>
        <w:tab/>
        <w:t>Приложение №4 к настоящему извещению.</w:t>
      </w:r>
    </w:p>
  </w:footnote>
  <w:footnote w:id="3">
    <w:p>
      <w:pPr>
        <w:pStyle w:val="FootnoteText"/>
        <w:rPr/>
      </w:pPr>
      <w:r>
        <w:rPr>
          <w:rStyle w:val="Style17"/>
        </w:rPr>
        <w:footnoteRef/>
      </w:r>
      <w:r>
        <w:rPr/>
        <w:tab/>
        <w:t>Для совершеннолетних граждан Российской Федерации полной копией документа - паспорта гражданина</w:t>
      </w:r>
    </w:p>
    <w:p>
      <w:pPr>
        <w:pStyle w:val="FootnoteText"/>
        <w:rPr/>
      </w:pPr>
      <w:r>
        <w:rPr/>
        <w:t>Российской Федерации является копия всех страниц со 1 по 20.</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069" w:hanging="360"/>
      </w:pPr>
      <w:rPr>
        <w:rFonts w:ascii="Symbol" w:hAnsi="Symbol" w:cs="Symbol" w:hint="default"/>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821ef"/>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unhideWhenUsed/>
    <w:qFormat/>
    <w:rPr/>
  </w:style>
  <w:style w:type="character" w:styleId="Hyperlink">
    <w:name w:val="Hyperlink"/>
    <w:rsid w:val="000821ef"/>
    <w:rPr>
      <w:color w:val="0000FF"/>
      <w:u w:val="single"/>
    </w:rPr>
  </w:style>
  <w:style w:type="character" w:styleId="FollowedHyperlink">
    <w:name w:val="FollowedHyperlink"/>
    <w:uiPriority w:val="99"/>
    <w:semiHidden/>
    <w:unhideWhenUsed/>
    <w:rsid w:val="000821ef"/>
    <w:rPr>
      <w:color w:val="800080"/>
      <w:u w:val="single"/>
    </w:rPr>
  </w:style>
  <w:style w:type="character" w:styleId="Style14" w:customStyle="1">
    <w:name w:val="Текст выноски Знак"/>
    <w:link w:val="BalloonText"/>
    <w:uiPriority w:val="99"/>
    <w:semiHidden/>
    <w:qFormat/>
    <w:rsid w:val="00351224"/>
    <w:rPr>
      <w:rFonts w:ascii="Tahoma" w:hAnsi="Tahoma" w:eastAsia="Times New Roman" w:cs="Tahoma"/>
      <w:sz w:val="16"/>
      <w:szCs w:val="16"/>
    </w:rPr>
  </w:style>
  <w:style w:type="character" w:styleId="Style15" w:customStyle="1">
    <w:name w:val="Верхний колонтитул Знак"/>
    <w:basedOn w:val="DefaultParagraphFont"/>
    <w:uiPriority w:val="99"/>
    <w:qFormat/>
    <w:rsid w:val="00bb1f44"/>
    <w:rPr>
      <w:rFonts w:ascii="Times New Roman" w:hAnsi="Times New Roman" w:eastAsia="Times New Roman"/>
      <w:sz w:val="24"/>
      <w:szCs w:val="24"/>
    </w:rPr>
  </w:style>
  <w:style w:type="character" w:styleId="Style16" w:customStyle="1">
    <w:name w:val="Нижний колонтитул Знак"/>
    <w:basedOn w:val="DefaultParagraphFont"/>
    <w:uiPriority w:val="99"/>
    <w:qFormat/>
    <w:rsid w:val="00bb1f44"/>
    <w:rPr>
      <w:rFonts w:ascii="Times New Roman" w:hAnsi="Times New Roman" w:eastAsia="Times New Roman"/>
      <w:sz w:val="24"/>
      <w:szCs w:val="24"/>
    </w:rPr>
  </w:style>
  <w:style w:type="character" w:styleId="Style17">
    <w:name w:val="Символ сноски"/>
    <w:qFormat/>
    <w:rPr>
      <w:vertAlign w:val="superscript"/>
    </w:rPr>
  </w:style>
  <w:style w:type="character" w:styleId="FootnoteReference">
    <w:name w:val="Footnote Reference"/>
    <w:rPr>
      <w:vertAlign w:val="superscript"/>
    </w:rPr>
  </w:style>
  <w:style w:type="character" w:styleId="Style18">
    <w:name w:val="Символ концевой сноски"/>
    <w:qFormat/>
    <w:rPr>
      <w:vertAlign w:val="superscript"/>
    </w:rPr>
  </w:style>
  <w:style w:type="character" w:styleId="EndnoteReference">
    <w:name w:val="Endnote Reference"/>
    <w:rPr>
      <w:vertAlign w:val="superscript"/>
    </w:rPr>
  </w:style>
  <w:style w:type="paragraph" w:styleId="Style19">
    <w:name w:val="Заголовок"/>
    <w:basedOn w:val="Normal"/>
    <w:next w:val="BodyText"/>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PT Astra Serif" w:hAnsi="PT Astra Serif" w:cs="Noto Sans Devanagari"/>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ConsPlusNormal" w:customStyle="1">
    <w:name w:val="ConsPlusNormal"/>
    <w:qFormat/>
    <w:rsid w:val="00077130"/>
    <w:pPr>
      <w:widowControl/>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BalloonText">
    <w:name w:val="Balloon Text"/>
    <w:basedOn w:val="Normal"/>
    <w:link w:val="Style14"/>
    <w:uiPriority w:val="99"/>
    <w:semiHidden/>
    <w:unhideWhenUsed/>
    <w:qFormat/>
    <w:rsid w:val="00351224"/>
    <w:pPr/>
    <w:rPr>
      <w:rFonts w:ascii="Tahoma" w:hAnsi="Tahoma"/>
      <w:sz w:val="16"/>
      <w:szCs w:val="16"/>
    </w:rPr>
  </w:style>
  <w:style w:type="paragraph" w:styleId="Style21">
    <w:name w:val="Колонтитул"/>
    <w:basedOn w:val="Normal"/>
    <w:qFormat/>
    <w:pPr/>
    <w:rPr/>
  </w:style>
  <w:style w:type="paragraph" w:styleId="Header">
    <w:name w:val="Header"/>
    <w:basedOn w:val="Normal"/>
    <w:link w:val="Style15"/>
    <w:uiPriority w:val="99"/>
    <w:unhideWhenUsed/>
    <w:rsid w:val="00bb1f44"/>
    <w:pPr>
      <w:tabs>
        <w:tab w:val="clear" w:pos="708"/>
        <w:tab w:val="center" w:pos="4677" w:leader="none"/>
        <w:tab w:val="right" w:pos="9355" w:leader="none"/>
      </w:tabs>
    </w:pPr>
    <w:rPr/>
  </w:style>
  <w:style w:type="paragraph" w:styleId="Footer">
    <w:name w:val="Footer"/>
    <w:basedOn w:val="Normal"/>
    <w:link w:val="Style16"/>
    <w:uiPriority w:val="99"/>
    <w:unhideWhenUsed/>
    <w:rsid w:val="00bb1f44"/>
    <w:pPr>
      <w:tabs>
        <w:tab w:val="clear" w:pos="708"/>
        <w:tab w:val="center" w:pos="4677" w:leader="none"/>
        <w:tab w:val="right" w:pos="9355" w:leader="none"/>
      </w:tabs>
    </w:pPr>
    <w:rPr/>
  </w:style>
  <w:style w:type="paragraph" w:styleId="NoSpacing">
    <w:name w:val="No Spacing"/>
    <w:uiPriority w:val="1"/>
    <w:qFormat/>
    <w:rsid w:val="002341e6"/>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Style22">
    <w:name w:val="Содержимое врезки"/>
    <w:basedOn w:val="Normal"/>
    <w:qFormat/>
    <w:pPr/>
    <w:rPr/>
  </w:style>
  <w:style w:type="paragraph" w:styleId="FootnoteText">
    <w:name w:val="Footnote Text"/>
    <w:basedOn w:val="Normal"/>
    <w:pPr>
      <w:suppressLineNumbers/>
      <w:ind w:hanging="340" w:left="340"/>
    </w:pPr>
    <w:rPr>
      <w:sz w:val="20"/>
      <w:szCs w:val="20"/>
    </w:rPr>
  </w:style>
  <w:style w:type="paragraph" w:styleId="5">
    <w:name w:val="5 МГП Обычный текст"/>
    <w:basedOn w:val="Normal"/>
    <w:qFormat/>
    <w:pPr>
      <w:spacing w:lineRule="auto" w:line="276"/>
      <w:ind w:firstLine="709"/>
      <w:jc w:val="both"/>
    </w:pPr>
    <w:rPr>
      <w:sz w:val="28"/>
      <w:szCs w:val="22"/>
      <w:lang w:eastAsia="en-US"/>
    </w:rPr>
  </w:style>
  <w:style w:type="paragraph" w:styleId="51">
    <w:name w:val="5"/>
    <w:basedOn w:val="5"/>
    <w:qFormat/>
    <w:pPr>
      <w:numPr>
        <w:ilvl w:val="0"/>
        <w:numId w:val="1"/>
      </w:numPr>
      <w:tabs>
        <w:tab w:val="clear" w:pos="708"/>
        <w:tab w:val="left" w:pos="1134"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rsid w:val="00dd0ae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rayon.partizansky.ru/" TargetMode="External"/><Relationship Id="rId3" Type="http://schemas.openxmlformats.org/officeDocument/2006/relationships/hyperlink" Target="http://rayon.partizansky.ru/" TargetMode="External"/><Relationship Id="rId4" Type="http://schemas.openxmlformats.org/officeDocument/2006/relationships/hyperlink" Target="mailto:iSupport@rts-tender.ru" TargetMode="External"/><Relationship Id="rId5" Type="http://schemas.openxmlformats.org/officeDocument/2006/relationships/hyperlink" Target="https://www.rts-tender.ru/" TargetMode="External"/><Relationship Id="rId6" Type="http://schemas.openxmlformats.org/officeDocument/2006/relationships/hyperlink" Target="http://rayon.partizansky.ru/" TargetMode="External"/><Relationship Id="rId7" Type="http://schemas.openxmlformats.org/officeDocument/2006/relationships/hyperlink" Target="https://www.rts-tender.ru/Portals/0/Files/library/docs/reglament-property-sales-07022025.pdf" TargetMode="External"/><Relationship Id="rId8" Type="http://schemas.openxmlformats.org/officeDocument/2006/relationships/hyperlink" Target="https://www.rts-tender.ru/Portals/0/Files/library/docs/reglament-property-sales-07022025.pdf" TargetMode="External"/><Relationship Id="rId9" Type="http://schemas.openxmlformats.org/officeDocument/2006/relationships/hyperlink" Target="https://www.rts-tender.ru/" TargetMode="Externa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302</TotalTime>
  <Application>LibreOffice/7.6.7.2$Linux_X86_64 LibreOffice_project/60$Build-2</Application>
  <AppVersion>15.0000</AppVersion>
  <Pages>11</Pages>
  <Words>3762</Words>
  <Characters>26273</Characters>
  <CharactersWithSpaces>30024</CharactersWithSpaces>
  <Paragraphs>127</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2024-05-06T04:20:00Z</dcterms:created>
  <dc:creator>2</dc:creator>
  <dc:description/>
  <dc:language>ru-RU</dc:language>
  <cp:lastModifiedBy/>
  <cp:lastPrinted>2025-06-24T15:27:23Z</cp:lastPrinted>
  <dcterms:modified xsi:type="dcterms:W3CDTF">2025-06-24T16:54:04Z</dcterms:modified>
  <cp:revision>32</cp:revision>
  <dc:subject/>
  <dc:title>АДМИНИСТРАЦИЯ ПАРТИЗАНСКОГО</dc:title>
</cp:coreProperties>
</file>

<file path=docProps/custom.xml><?xml version="1.0" encoding="utf-8"?>
<Properties xmlns="http://schemas.openxmlformats.org/officeDocument/2006/custom-properties" xmlns:vt="http://schemas.openxmlformats.org/officeDocument/2006/docPropsVTypes"/>
</file>