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5"/>
        <w:tblW w:w="4394" w:type="dxa"/>
        <w:jc w:val="left"/>
        <w:tblInd w:w="517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394"/>
      </w:tblGrid>
      <w:tr>
        <w:trPr/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right"/>
              <w:outlineLvl w:val="0"/>
              <w:rPr>
                <w:kern w:val="0"/>
                <w:szCs w:val="22"/>
                <w:lang w:val="ru-R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УТВЕРЖДЕН</w:t>
            </w:r>
          </w:p>
          <w:p>
            <w:pPr>
              <w:pStyle w:val="ConsPlusNormal"/>
              <w:suppressAutoHyphens w:val="true"/>
              <w:spacing w:before="0" w:after="0"/>
              <w:jc w:val="right"/>
              <w:rPr>
                <w:kern w:val="0"/>
                <w:szCs w:val="22"/>
                <w:lang w:val="ru-R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приказом финансового управления</w:t>
            </w:r>
          </w:p>
          <w:p>
            <w:pPr>
              <w:pStyle w:val="ConsPlusNormal"/>
              <w:suppressAutoHyphens w:val="true"/>
              <w:spacing w:before="0" w:after="0"/>
              <w:jc w:val="right"/>
              <w:rPr>
                <w:kern w:val="0"/>
                <w:szCs w:val="22"/>
                <w:lang w:val="ru-R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администрации Партизанского</w:t>
            </w:r>
          </w:p>
          <w:p>
            <w:pPr>
              <w:pStyle w:val="ConsPlusNormal"/>
              <w:suppressAutoHyphens w:val="true"/>
              <w:spacing w:before="0" w:after="0"/>
              <w:jc w:val="right"/>
              <w:rPr>
                <w:kern w:val="0"/>
                <w:szCs w:val="22"/>
                <w:lang w:val="ru-R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муниципального округа</w:t>
            </w:r>
          </w:p>
          <w:p>
            <w:pPr>
              <w:pStyle w:val="ConsPlusNormal"/>
              <w:suppressAutoHyphens w:val="true"/>
              <w:spacing w:before="0" w:after="0"/>
              <w:jc w:val="right"/>
              <w:rPr>
                <w:kern w:val="0"/>
                <w:szCs w:val="22"/>
                <w:u w:val="none"/>
                <w:lang w:val="ru-R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u w:val="none"/>
                <w:lang w:val="ru-RU" w:bidi="ar-SA"/>
              </w:rPr>
              <w:t xml:space="preserve">от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u w:val="none"/>
                <w:lang w:val="ru-RU" w:bidi="ar-SA"/>
              </w:rPr>
              <w:t>03.03.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u w:val="none"/>
                <w:lang w:val="ru-RU" w:bidi="ar-SA"/>
              </w:rPr>
              <w:t xml:space="preserve">2025 г. №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u w:val="none"/>
                <w:lang w:val="ru-RU" w:bidi="ar-SA"/>
              </w:rPr>
              <w:t>02-ОС</w:t>
            </w:r>
          </w:p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right"/>
              <w:outlineLvl w:val="0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</w:r>
          </w:p>
        </w:tc>
      </w:tr>
    </w:tbl>
    <w:p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  <w:bookmarkStart w:id="0" w:name="P42"/>
      <w:bookmarkStart w:id="1" w:name="P42"/>
      <w:bookmarkEnd w:id="1"/>
    </w:p>
    <w:p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ПОРЯДОК</w:t>
      </w:r>
    </w:p>
    <w:p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планирования бюджетных ассигнований</w:t>
      </w:r>
    </w:p>
    <w:p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бюджета Партизанского муниципального округа</w:t>
      </w:r>
    </w:p>
    <w:p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очередной финансовый год и плановый период</w:t>
      </w:r>
    </w:p>
    <w:p>
      <w:pPr>
        <w:pStyle w:val="ConsPlusNormal"/>
        <w:spacing w:before="0" w:after="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567"/>
        <w:jc w:val="both"/>
        <w:rPr>
          <w:rFonts w:ascii="Times New Roman" w:hAnsi="Times New Roman" w:eastAsia="Calibri" w:cs="Times New Roman" w:eastAsiaTheme="minorHAnsi"/>
          <w:sz w:val="28"/>
          <w:szCs w:val="28"/>
          <w:lang w:eastAsia="en-US"/>
        </w:rPr>
      </w:pPr>
      <w:r>
        <w:rPr>
          <w:rFonts w:cs="Times New Roman" w:ascii="Times New Roman" w:hAnsi="Times New Roman"/>
          <w:sz w:val="28"/>
          <w:szCs w:val="28"/>
        </w:rPr>
        <w:t xml:space="preserve">1. </w:t>
      </w:r>
      <w:r>
        <w:rPr>
          <w:rFonts w:eastAsia="Calibri" w:cs="Times New Roman" w:ascii="Times New Roman" w:hAnsi="Times New Roman" w:eastAsiaTheme="minorHAnsi"/>
          <w:sz w:val="28"/>
          <w:szCs w:val="28"/>
          <w:lang w:eastAsia="en-US"/>
        </w:rPr>
        <w:t>Настоящий Порядок определяет порядок планирования бюджетных ассигнований бюджета Партизанского муниципального округа (далее - бюджетные ассигнования) при составлении проекта бюджета Партизанского муниципального округа на очередной финансовый год и плановый период, перечень документов, предоставляемых в финансовое управление администрации Партизанского муниципального округа (далее – финансовое управление) в целях планирования бюджетных ассигнований на очередной финансовый год и плановый период.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ConsPlusNormal"/>
        <w:spacing w:before="0" w:after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Планирование бюджетных ассигнований осуществляется финансовым управлением и главными распорядителями средств бюджета Партизанского муниципального округа (далее - главные распорядители).</w:t>
      </w:r>
    </w:p>
    <w:p>
      <w:pPr>
        <w:pStyle w:val="ConsPlusNormal"/>
        <w:spacing w:before="20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Предельный объем бюджетных ассигнований, предусматриваемых в соответствующем финансовом году для исполнения расходных обязательств, определяется исходя из прогнозируемого годового объема доходов бюджета Партизанского муниципального округа (без учета прогнозируемого объема безвозмездных поступлений) и планируемого объема поступлений источников финансирования дефицита бюджета.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Планирование бюджетных ассигнований на исполнение расходных обязательств Партизанского муниципального округа за счет межбюджетных трансфертов, предоставляемых из вышестоящих бюджетов, осуществляется в пределах параметров проекта краевого Закона о краевом бюджете на очередной финансовый год и плановый период.</w:t>
      </w:r>
    </w:p>
    <w:p>
      <w:pPr>
        <w:pStyle w:val="ConsPlusNormal"/>
        <w:spacing w:before="200" w:after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 Планирование бюджетных ассигнований осуществляется главными распорядителями в сроки и в порядке, установленные муниципальным правовым актом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администрации Партизанского муниципального округа, регламентирующим    порядок составления проекта бюджета Партизанского муниципального округа  на очередной финансовый год и плановый период (далее – постановление), в соответствии с нормативными правовыми актами, регулирующими бюджетные правоотношения, иными нормативными правовыми актами, соглашениями (договорами), устанавливающими расходные обязательства и настоящим Порядком.</w:t>
      </w:r>
    </w:p>
    <w:p>
      <w:pPr>
        <w:pStyle w:val="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 Планирование бюджетных ассигнований бюджета Партизанского муниципального округа осуществляется по кодам классификации расходов бюджета в разрезе муниципальных программ Партизанского муниципального округа и непрограммных направлений деятельности.</w:t>
      </w:r>
    </w:p>
    <w:p>
      <w:pPr>
        <w:pStyle w:val="ConsPlusNormal"/>
        <w:spacing w:before="20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6. Планирование бюджетных ассигнований на исполнение расходных обязательств Партизанского муниципального округа осуществляется на основе принципа сбалансированности в соответствии с методами расчета объемов бюджетных ассигнований соответствующих расходных обязательств.</w:t>
      </w:r>
    </w:p>
    <w:p>
      <w:pPr>
        <w:pStyle w:val="ConsPlusNormal"/>
        <w:spacing w:before="20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7. При планировании бюджетных ассигнований бюджета Партизанского муниципального округа  главные распорядители обеспечивают: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1) обоснования бюджетных ассигнований на очередной финансовый год и плановый период, сформированные в соответствии с Методикой планирования бюджетных ассигнований по формам </w:t>
      </w:r>
      <w:hyperlink w:anchor="P439">
        <w:r>
          <w:rPr>
            <w:rStyle w:val="ListLabel1"/>
            <w:rFonts w:cs="Times New Roman" w:ascii="Times New Roman" w:hAnsi="Times New Roman"/>
            <w:sz w:val="28"/>
            <w:szCs w:val="28"/>
          </w:rPr>
          <w:t xml:space="preserve">приложений № </w:t>
        </w:r>
      </w:hyperlink>
      <w:r>
        <w:rPr>
          <w:rFonts w:cs="Times New Roman" w:ascii="Times New Roman" w:hAnsi="Times New Roman"/>
          <w:sz w:val="28"/>
          <w:szCs w:val="28"/>
        </w:rPr>
        <w:t xml:space="preserve">1-6 к Методике планирования бюджетных ассигнований бюджета Партизанского муниципального округа на очередной финансовый год и плановый период на бумажном носителе с пояснительной запиской, содержащей информацию о методах расчета бюджетных ассигнований, значениях применяемых индексов и нормативов со ссылкой на нормативные правовые акты (проекты нормативных правовых актов и другие документы и материалы, устанавливающие их размеры), с приложением штатных расписаний органов местного самоуправления и казенных учреждений; 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2) распределение бюджетных ассигнований на очередной финансовый год и плановый период по </w:t>
      </w:r>
      <w:hyperlink w:anchor="P89">
        <w:r>
          <w:rPr>
            <w:rStyle w:val="ListLabel1"/>
            <w:rFonts w:cs="Times New Roman" w:ascii="Times New Roman" w:hAnsi="Times New Roman"/>
            <w:sz w:val="28"/>
            <w:szCs w:val="28"/>
          </w:rPr>
          <w:t>форме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приложения к настоящему Порядку.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Указанные документы представляются главными распорядителями в финансовое управление на бумажном носителе с сопроводительным письмом.</w:t>
      </w:r>
    </w:p>
    <w:p>
      <w:pPr>
        <w:pStyle w:val="ConsPlusNormal"/>
        <w:spacing w:before="20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8. При представлении главными распорядителями в финансовое управление распределения бюджетных ассигнований на очередной финансовый год и плановый период общий объем ассигнований на исполнение расходных обязательств на очередной финансовый год и плановый период не может превышать общий объем предельных объемов бюджетных ассигнований на исполнение расходных обязательств на очередной финансовый год и плановый период, доведенный финансовым управлением.</w:t>
      </w:r>
    </w:p>
    <w:p>
      <w:pPr>
        <w:pStyle w:val="ConsPlusNormal"/>
        <w:jc w:val="both"/>
        <w:rPr/>
      </w:pPr>
      <w:r>
        <w:rPr/>
      </w:r>
    </w:p>
    <w:p>
      <w:pPr>
        <w:pStyle w:val="Normal"/>
        <w:ind w:firstLine="540"/>
        <w:jc w:val="both"/>
        <w:rPr>
          <w:rFonts w:ascii="Times New Roman" w:hAnsi="Times New Roman" w:eastAsia="Calibri" w:cs="Times New Roman" w:eastAsiaTheme="minorHAnsi"/>
          <w:sz w:val="28"/>
          <w:szCs w:val="28"/>
          <w:lang w:eastAsia="en-US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en-US"/>
        </w:rPr>
        <w:t xml:space="preserve">9. Финансовое управление вправе запрашивать у главных распорядителей дополнительные документы и материалы, необходимые для подтверждения обоснованности заявленных бюджетных ассигнований. </w:t>
      </w:r>
    </w:p>
    <w:p>
      <w:pPr>
        <w:pStyle w:val="ConsPlusNormal"/>
        <w:jc w:val="center"/>
        <w:rPr/>
      </w:pPr>
      <w:r>
        <w:rPr/>
      </w:r>
    </w:p>
    <w:p>
      <w:pPr>
        <w:pStyle w:val="ConsPlusNormal"/>
        <w:jc w:val="center"/>
        <w:rPr/>
      </w:pPr>
      <w:r>
        <w:rPr/>
        <w:t>_____________________</w:t>
      </w:r>
    </w:p>
    <w:sectPr>
      <w:headerReference w:type="default" r:id="rId2"/>
      <w:type w:val="nextPage"/>
      <w:pgSz w:w="11906" w:h="16838"/>
      <w:pgMar w:left="1701" w:right="850" w:gutter="0" w:header="426" w:top="1134" w:footer="0" w:bottom="709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G Times">
    <w:charset w:val="01"/>
    <w:family w:val="roman"/>
    <w:pitch w:val="default"/>
  </w:font>
  <w:font w:name="PT Astra Serif">
    <w:charset w:val="01"/>
    <w:family w:val="roman"/>
    <w:pitch w:val="default"/>
  </w:font>
  <w:font w:name="Arial">
    <w:charset w:val="01"/>
    <w:family w:val="roman"/>
    <w:pitch w:val="default"/>
  </w:font>
  <w:font w:name="Courier New">
    <w:charset w:val="01"/>
    <w:family w:val="roman"/>
    <w:pitch w:val="default"/>
  </w:font>
  <w:font w:name="Tahoma">
    <w:charset w:val="01"/>
    <w:family w:val="roman"/>
    <w:pitch w:val="default"/>
  </w:font>
  <w:font w:name="Times New Roman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5984610"/>
    </w:sdtPr>
    <w:sdtContent>
      <w:p>
        <w:pPr>
          <w:pStyle w:val="Head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98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d6a62"/>
    <w:pPr>
      <w:widowControl/>
      <w:suppressAutoHyphens w:val="true"/>
      <w:bidi w:val="0"/>
      <w:spacing w:lineRule="auto" w:line="240" w:before="0" w:after="0"/>
      <w:jc w:val="left"/>
    </w:pPr>
    <w:rPr>
      <w:rFonts w:ascii="CG Times" w:hAnsi="CG Times" w:eastAsia="Times New Roman" w:cs="CG Times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8430ed"/>
    <w:rPr/>
  </w:style>
  <w:style w:type="character" w:styleId="Style15" w:customStyle="1">
    <w:name w:val="Нижний колонтитул Знак"/>
    <w:basedOn w:val="DefaultParagraphFont"/>
    <w:uiPriority w:val="99"/>
    <w:semiHidden/>
    <w:qFormat/>
    <w:rsid w:val="000059d3"/>
    <w:rPr>
      <w:rFonts w:ascii="CG Times" w:hAnsi="CG Times" w:eastAsia="Times New Roman" w:cs="CG Times"/>
      <w:sz w:val="20"/>
      <w:szCs w:val="20"/>
      <w:lang w:eastAsia="ru-RU"/>
    </w:rPr>
  </w:style>
  <w:style w:type="character" w:styleId="Hyperlink">
    <w:name w:val="Hyperlink"/>
    <w:rPr>
      <w:color w:val="000080"/>
      <w:u w:val="single"/>
    </w:rPr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ConsPlusNormal" w:customStyle="1">
    <w:name w:val="ConsPlusNormal"/>
    <w:qFormat/>
    <w:rsid w:val="007710d5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" w:cs="Arial" w:eastAsiaTheme="minorEastAsia"/>
      <w:color w:val="auto"/>
      <w:kern w:val="0"/>
      <w:sz w:val="20"/>
      <w:szCs w:val="22"/>
      <w:lang w:val="ru-RU" w:eastAsia="ru-RU" w:bidi="ar-SA"/>
    </w:rPr>
  </w:style>
  <w:style w:type="paragraph" w:styleId="ConsPlusNonformat" w:customStyle="1">
    <w:name w:val="ConsPlusNonformat"/>
    <w:qFormat/>
    <w:rsid w:val="007710d5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" w:cs="Courier New" w:eastAsiaTheme="minorEastAsia"/>
      <w:color w:val="auto"/>
      <w:kern w:val="0"/>
      <w:sz w:val="20"/>
      <w:szCs w:val="22"/>
      <w:lang w:val="ru-RU" w:eastAsia="ru-RU" w:bidi="ar-SA"/>
    </w:rPr>
  </w:style>
  <w:style w:type="paragraph" w:styleId="ConsPlusTitle" w:customStyle="1">
    <w:name w:val="ConsPlusTitle"/>
    <w:qFormat/>
    <w:rsid w:val="007710d5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" w:cs="Arial" w:eastAsiaTheme="minorEastAsia"/>
      <w:b/>
      <w:color w:val="auto"/>
      <w:kern w:val="0"/>
      <w:sz w:val="20"/>
      <w:szCs w:val="22"/>
      <w:lang w:val="ru-RU" w:eastAsia="ru-RU" w:bidi="ar-SA"/>
    </w:rPr>
  </w:style>
  <w:style w:type="paragraph" w:styleId="ConsPlusCell" w:customStyle="1">
    <w:name w:val="ConsPlusCell"/>
    <w:qFormat/>
    <w:rsid w:val="007710d5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" w:cs="Courier New" w:eastAsiaTheme="minorEastAsia"/>
      <w:color w:val="auto"/>
      <w:kern w:val="0"/>
      <w:sz w:val="20"/>
      <w:szCs w:val="22"/>
      <w:lang w:val="ru-RU" w:eastAsia="ru-RU" w:bidi="ar-SA"/>
    </w:rPr>
  </w:style>
  <w:style w:type="paragraph" w:styleId="ConsPlusDocList" w:customStyle="1">
    <w:name w:val="ConsPlusDocList"/>
    <w:qFormat/>
    <w:rsid w:val="007710d5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" w:cs="Courier New" w:eastAsiaTheme="minorEastAsia"/>
      <w:color w:val="auto"/>
      <w:kern w:val="0"/>
      <w:sz w:val="20"/>
      <w:szCs w:val="22"/>
      <w:lang w:val="ru-RU" w:eastAsia="ru-RU" w:bidi="ar-SA"/>
    </w:rPr>
  </w:style>
  <w:style w:type="paragraph" w:styleId="ConsPlusTitlePage" w:customStyle="1">
    <w:name w:val="ConsPlusTitlePage"/>
    <w:qFormat/>
    <w:rsid w:val="007710d5"/>
    <w:pPr>
      <w:widowControl w:val="false"/>
      <w:suppressAutoHyphens w:val="true"/>
      <w:bidi w:val="0"/>
      <w:spacing w:lineRule="auto" w:line="240" w:before="0" w:after="0"/>
      <w:jc w:val="left"/>
    </w:pPr>
    <w:rPr>
      <w:rFonts w:ascii="Tahoma" w:hAnsi="Tahoma" w:eastAsia="" w:cs="Tahoma" w:eastAsiaTheme="minorEastAsia"/>
      <w:color w:val="auto"/>
      <w:kern w:val="0"/>
      <w:sz w:val="20"/>
      <w:szCs w:val="22"/>
      <w:lang w:val="ru-RU" w:eastAsia="ru-RU" w:bidi="ar-SA"/>
    </w:rPr>
  </w:style>
  <w:style w:type="paragraph" w:styleId="ConsPlusJurTerm" w:customStyle="1">
    <w:name w:val="ConsPlusJurTerm"/>
    <w:qFormat/>
    <w:rsid w:val="007710d5"/>
    <w:pPr>
      <w:widowControl w:val="false"/>
      <w:suppressAutoHyphens w:val="true"/>
      <w:bidi w:val="0"/>
      <w:spacing w:lineRule="auto" w:line="240" w:before="0" w:after="0"/>
      <w:jc w:val="left"/>
    </w:pPr>
    <w:rPr>
      <w:rFonts w:ascii="Tahoma" w:hAnsi="Tahoma" w:eastAsia="" w:cs="Tahoma" w:eastAsiaTheme="minorEastAsia"/>
      <w:color w:val="auto"/>
      <w:kern w:val="0"/>
      <w:sz w:val="26"/>
      <w:szCs w:val="22"/>
      <w:lang w:val="ru-RU" w:eastAsia="ru-RU" w:bidi="ar-SA"/>
    </w:rPr>
  </w:style>
  <w:style w:type="paragraph" w:styleId="ConsPlusTextList" w:customStyle="1">
    <w:name w:val="ConsPlusTextList"/>
    <w:qFormat/>
    <w:rsid w:val="007710d5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" w:cs="Arial" w:eastAsiaTheme="minorEastAsia"/>
      <w:color w:val="auto"/>
      <w:kern w:val="0"/>
      <w:sz w:val="20"/>
      <w:szCs w:val="22"/>
      <w:lang w:val="ru-RU" w:eastAsia="ru-RU" w:bidi="ar-SA"/>
    </w:rPr>
  </w:style>
  <w:style w:type="paragraph" w:styleId="Style18">
    <w:name w:val="Колонтитул"/>
    <w:basedOn w:val="Normal"/>
    <w:qFormat/>
    <w:pPr/>
    <w:rPr/>
  </w:style>
  <w:style w:type="paragraph" w:styleId="Header">
    <w:name w:val="Header"/>
    <w:basedOn w:val="Normal"/>
    <w:link w:val="Style14"/>
    <w:uiPriority w:val="99"/>
    <w:unhideWhenUsed/>
    <w:rsid w:val="008430ed"/>
    <w:pPr>
      <w:tabs>
        <w:tab w:val="clear" w:pos="708"/>
        <w:tab w:val="center" w:pos="4677" w:leader="none"/>
        <w:tab w:val="right" w:pos="9355" w:leader="none"/>
      </w:tabs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paragraph" w:styleId="1" w:customStyle="1">
    <w:name w:val="заголовок 1"/>
    <w:basedOn w:val="Normal"/>
    <w:next w:val="Normal"/>
    <w:qFormat/>
    <w:rsid w:val="00c44402"/>
    <w:pPr>
      <w:keepNext w:val="true"/>
      <w:spacing w:before="120" w:after="240"/>
      <w:jc w:val="center"/>
    </w:pPr>
    <w:rPr>
      <w:b/>
      <w:bCs/>
      <w:sz w:val="28"/>
      <w:szCs w:val="28"/>
    </w:rPr>
  </w:style>
  <w:style w:type="paragraph" w:styleId="Footer">
    <w:name w:val="Footer"/>
    <w:basedOn w:val="Normal"/>
    <w:link w:val="Style15"/>
    <w:uiPriority w:val="99"/>
    <w:semiHidden/>
    <w:unhideWhenUsed/>
    <w:rsid w:val="000059d3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f1334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12AD7D-FCD2-413A-B82D-BE9D88DE7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Application>LibreOffice/7.6.7.2$Linux_X86_64 LibreOffice_project/60$Build-2</Application>
  <AppVersion>15.0000</AppVersion>
  <Pages>2</Pages>
  <Words>491</Words>
  <Characters>3983</Characters>
  <CharactersWithSpaces>4460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2022-11-23T03:54:00Z</dcterms:created>
  <dc:creator>Boyko</dc:creator>
  <dc:description/>
  <dc:language>ru-RU</dc:language>
  <cp:lastModifiedBy/>
  <dcterms:modified xsi:type="dcterms:W3CDTF">2025-03-11T16:03:36Z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