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header1.xml" ContentType="application/vnd.openxmlformats-officedocument.wordprocessingml.header+xml"/>
  <Override PartName="/word/_rels/document.xml.rels" ContentType="application/vnd.openxmlformats-package.relationships+xml"/>
  <Override PartName="/word/document.xml" ContentType="application/vnd.openxmlformats-officedocument.wordprocessingml.document.main+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5"/>
        <w:tblW w:w="3934" w:type="dxa"/>
        <w:jc w:val="left"/>
        <w:tblInd w:w="5745" w:type="dxa"/>
        <w:tblLayout w:type="fixed"/>
        <w:tblCellMar>
          <w:top w:w="0" w:type="dxa"/>
          <w:left w:w="108" w:type="dxa"/>
          <w:bottom w:w="0" w:type="dxa"/>
          <w:right w:w="108" w:type="dxa"/>
        </w:tblCellMar>
        <w:tblLook w:val="04a0"/>
      </w:tblPr>
      <w:tblGrid>
        <w:gridCol w:w="3934"/>
      </w:tblGrid>
      <w:tr>
        <w:trPr/>
        <w:tc>
          <w:tcPr>
            <w:tcW w:w="3934" w:type="dxa"/>
            <w:tcBorders>
              <w:top w:val="nil"/>
              <w:left w:val="nil"/>
              <w:bottom w:val="nil"/>
              <w:right w:val="nil"/>
            </w:tcBorders>
          </w:tcPr>
          <w:p>
            <w:pPr>
              <w:pStyle w:val="ConsPlusNormal"/>
              <w:numPr>
                <w:ilvl w:val="0"/>
                <w:numId w:val="0"/>
              </w:numPr>
              <w:suppressAutoHyphens w:val="true"/>
              <w:spacing w:before="0" w:after="0"/>
              <w:ind w:hanging="0" w:left="0"/>
              <w:jc w:val="right"/>
              <w:outlineLvl w:val="0"/>
              <w:rPr>
                <w:kern w:val="0"/>
                <w:szCs w:val="22"/>
                <w:lang w:val="ru-RU" w:bidi="ar-SA"/>
              </w:rPr>
            </w:pPr>
            <w:r>
              <w:rPr>
                <w:rFonts w:cs="Times New Roman" w:ascii="Times New Roman" w:hAnsi="Times New Roman"/>
                <w:kern w:val="0"/>
                <w:sz w:val="24"/>
                <w:szCs w:val="24"/>
                <w:lang w:val="ru-RU" w:bidi="ar-SA"/>
              </w:rPr>
              <w:t>УТВЕРЖДЕНА</w:t>
            </w:r>
          </w:p>
          <w:p>
            <w:pPr>
              <w:pStyle w:val="ConsPlusNormal"/>
              <w:suppressAutoHyphens w:val="true"/>
              <w:spacing w:before="0" w:after="0"/>
              <w:jc w:val="right"/>
              <w:rPr>
                <w:kern w:val="0"/>
                <w:szCs w:val="22"/>
                <w:lang w:val="ru-RU" w:bidi="ar-SA"/>
              </w:rPr>
            </w:pPr>
            <w:r>
              <w:rPr>
                <w:rFonts w:cs="Times New Roman" w:ascii="Times New Roman" w:hAnsi="Times New Roman"/>
                <w:kern w:val="0"/>
                <w:sz w:val="24"/>
                <w:szCs w:val="24"/>
                <w:lang w:val="ru-RU" w:bidi="ar-SA"/>
              </w:rPr>
              <w:t>приказом финансового управления</w:t>
            </w:r>
          </w:p>
          <w:p>
            <w:pPr>
              <w:pStyle w:val="ConsPlusNormal"/>
              <w:suppressAutoHyphens w:val="true"/>
              <w:spacing w:before="0" w:after="0"/>
              <w:jc w:val="right"/>
              <w:rPr>
                <w:kern w:val="0"/>
                <w:szCs w:val="22"/>
                <w:lang w:val="ru-RU" w:bidi="ar-SA"/>
              </w:rPr>
            </w:pPr>
            <w:r>
              <w:rPr>
                <w:rFonts w:cs="Times New Roman" w:ascii="Times New Roman" w:hAnsi="Times New Roman"/>
                <w:kern w:val="0"/>
                <w:sz w:val="24"/>
                <w:szCs w:val="24"/>
                <w:lang w:val="ru-RU" w:bidi="ar-SA"/>
              </w:rPr>
              <w:t>администрации Партизанского</w:t>
            </w:r>
          </w:p>
          <w:p>
            <w:pPr>
              <w:pStyle w:val="ConsPlusNormal"/>
              <w:suppressAutoHyphens w:val="true"/>
              <w:spacing w:before="0" w:after="0"/>
              <w:jc w:val="right"/>
              <w:rPr>
                <w:kern w:val="0"/>
                <w:szCs w:val="22"/>
                <w:lang w:val="ru-RU" w:bidi="ar-SA"/>
              </w:rPr>
            </w:pPr>
            <w:r>
              <w:rPr>
                <w:rFonts w:cs="Times New Roman" w:ascii="Times New Roman" w:hAnsi="Times New Roman"/>
                <w:kern w:val="0"/>
                <w:sz w:val="24"/>
                <w:szCs w:val="24"/>
                <w:lang w:val="ru-RU" w:bidi="ar-SA"/>
              </w:rPr>
              <w:t>муниципального округа</w:t>
            </w:r>
          </w:p>
          <w:p>
            <w:pPr>
              <w:pStyle w:val="ConsPlusNormal"/>
              <w:suppressAutoHyphens w:val="true"/>
              <w:spacing w:before="0" w:after="0"/>
              <w:jc w:val="right"/>
              <w:rPr>
                <w:kern w:val="0"/>
                <w:szCs w:val="22"/>
                <w:u w:val="none"/>
                <w:lang w:val="ru-RU" w:bidi="ar-SA"/>
              </w:rPr>
            </w:pPr>
            <w:r>
              <w:rPr>
                <w:rFonts w:cs="Times New Roman" w:ascii="Times New Roman" w:hAnsi="Times New Roman"/>
                <w:kern w:val="0"/>
                <w:sz w:val="24"/>
                <w:szCs w:val="24"/>
                <w:u w:val="none"/>
                <w:lang w:val="ru-RU" w:bidi="ar-SA"/>
              </w:rPr>
              <w:t xml:space="preserve">от </w:t>
            </w:r>
            <w:r>
              <w:rPr>
                <w:rFonts w:cs="Times New Roman" w:ascii="Times New Roman" w:hAnsi="Times New Roman"/>
                <w:kern w:val="0"/>
                <w:sz w:val="24"/>
                <w:szCs w:val="24"/>
                <w:u w:val="none"/>
                <w:lang w:val="ru-RU" w:bidi="ar-SA"/>
              </w:rPr>
              <w:t>03.03.</w:t>
            </w:r>
            <w:r>
              <w:rPr>
                <w:rFonts w:cs="Times New Roman" w:ascii="Times New Roman" w:hAnsi="Times New Roman"/>
                <w:kern w:val="0"/>
                <w:sz w:val="24"/>
                <w:szCs w:val="24"/>
                <w:u w:val="none"/>
                <w:lang w:val="ru-RU" w:bidi="ar-SA"/>
              </w:rPr>
              <w:t xml:space="preserve">2025 г. № </w:t>
            </w:r>
            <w:r>
              <w:rPr>
                <w:rFonts w:cs="Times New Roman" w:ascii="Times New Roman" w:hAnsi="Times New Roman"/>
                <w:kern w:val="0"/>
                <w:sz w:val="24"/>
                <w:szCs w:val="24"/>
                <w:u w:val="none"/>
                <w:lang w:val="ru-RU" w:bidi="ar-SA"/>
              </w:rPr>
              <w:t>02-ОС</w:t>
            </w:r>
          </w:p>
        </w:tc>
      </w:tr>
    </w:tbl>
    <w:p>
      <w:pPr>
        <w:pStyle w:val="ConsPlusTitle"/>
        <w:jc w:val="center"/>
        <w:rPr>
          <w:rFonts w:ascii="Times New Roman" w:hAnsi="Times New Roman" w:cs="Times New Roman"/>
          <w:sz w:val="28"/>
          <w:szCs w:val="28"/>
        </w:rPr>
      </w:pPr>
      <w:r>
        <w:rPr>
          <w:rFonts w:cs="Times New Roman" w:ascii="Times New Roman" w:hAnsi="Times New Roman"/>
          <w:sz w:val="28"/>
          <w:szCs w:val="28"/>
        </w:rPr>
      </w:r>
      <w:bookmarkStart w:id="0" w:name="P42"/>
      <w:bookmarkStart w:id="1" w:name="P42"/>
      <w:bookmarkEnd w:id="1"/>
    </w:p>
    <w:p>
      <w:pPr>
        <w:pStyle w:val="ConsPlusTitle"/>
        <w:jc w:val="center"/>
        <w:rPr>
          <w:rFonts w:ascii="Times New Roman" w:hAnsi="Times New Roman" w:cs="Times New Roman"/>
          <w:sz w:val="28"/>
          <w:szCs w:val="28"/>
        </w:rPr>
      </w:pPr>
      <w:r>
        <w:rPr>
          <w:rFonts w:cs="Times New Roman" w:ascii="Times New Roman" w:hAnsi="Times New Roman"/>
          <w:sz w:val="28"/>
          <w:szCs w:val="28"/>
        </w:rPr>
        <w:t>МЕТОДИКА</w:t>
      </w:r>
    </w:p>
    <w:p>
      <w:pPr>
        <w:pStyle w:val="ConsPlusTitle"/>
        <w:jc w:val="center"/>
        <w:rPr>
          <w:rFonts w:ascii="Times New Roman" w:hAnsi="Times New Roman" w:cs="Times New Roman"/>
          <w:sz w:val="28"/>
          <w:szCs w:val="28"/>
        </w:rPr>
      </w:pPr>
      <w:r>
        <w:rPr>
          <w:rFonts w:cs="Times New Roman" w:ascii="Times New Roman" w:hAnsi="Times New Roman"/>
          <w:sz w:val="28"/>
          <w:szCs w:val="28"/>
        </w:rPr>
        <w:t>планирования бюджетных ассигнований</w:t>
      </w:r>
    </w:p>
    <w:p>
      <w:pPr>
        <w:pStyle w:val="ConsPlusTitle"/>
        <w:jc w:val="center"/>
        <w:rPr>
          <w:rFonts w:ascii="Times New Roman" w:hAnsi="Times New Roman" w:cs="Times New Roman"/>
          <w:sz w:val="28"/>
          <w:szCs w:val="28"/>
        </w:rPr>
      </w:pPr>
      <w:r>
        <w:rPr>
          <w:rFonts w:cs="Times New Roman" w:ascii="Times New Roman" w:hAnsi="Times New Roman"/>
          <w:sz w:val="28"/>
          <w:szCs w:val="28"/>
        </w:rPr>
        <w:t>бюджета Партизанского муниципального округа</w:t>
      </w:r>
    </w:p>
    <w:p>
      <w:pPr>
        <w:pStyle w:val="ConsPlusTitle"/>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очередной финансовый год и плановый период</w:t>
      </w:r>
    </w:p>
    <w:p>
      <w:pPr>
        <w:pStyle w:val="ConsPlusTitle"/>
        <w:jc w:val="center"/>
        <w:rPr>
          <w:rFonts w:ascii="Times New Roman" w:hAnsi="Times New Roman" w:cs="Times New Roman"/>
          <w:sz w:val="28"/>
          <w:szCs w:val="28"/>
        </w:rPr>
      </w:pPr>
      <w:r>
        <w:rPr>
          <w:rFonts w:cs="Times New Roman" w:ascii="Times New Roman" w:hAnsi="Times New Roman"/>
          <w:sz w:val="28"/>
          <w:szCs w:val="28"/>
        </w:rPr>
      </w:r>
    </w:p>
    <w:p>
      <w:pPr>
        <w:pStyle w:val="ConsPlusTitle"/>
        <w:jc w:val="center"/>
        <w:rPr>
          <w:rFonts w:ascii="Times New Roman" w:hAnsi="Times New Roman" w:cs="Times New Roman"/>
          <w:sz w:val="28"/>
          <w:szCs w:val="28"/>
        </w:rPr>
      </w:pPr>
      <w:r>
        <w:rPr>
          <w:rFonts w:cs="Times New Roman" w:ascii="Times New Roman" w:hAnsi="Times New Roman"/>
          <w:sz w:val="28"/>
          <w:szCs w:val="28"/>
        </w:rPr>
        <w:t>1. Общие положения</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1.1. Настоящая Методика планирования бюджетных ассигнований на очередной финансовый год и плановый период определяет принципы и подходы к формированию бюджетных ассигнований бюджета Партизанского муниципального округа на очередной финансовый год и плановый период, в том числе на исполнение действующих и принимаемых расходных обязательств (далее – Методика).</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1.2. Бюджетные ассигнования планируются в соответствии с расходными обязательствами Партизанского муниципального округа.</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1.3. Планирование бюджетных ассигнований осуществляется раздельно по действующим и принимаемым расходным обязательствам.</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1.4. Бюджетные ассигнования на исполнение принимаемых расходных обязательств включаются в проект бюджета Партизанского муниципального округа после обеспечения источниками финансирования бюджетных ассигнований на исполнение действующих расходных обязательств.</w:t>
      </w:r>
    </w:p>
    <w:p>
      <w:pPr>
        <w:pStyle w:val="ConsPlusNormal"/>
        <w:spacing w:before="200" w:after="240"/>
        <w:ind w:firstLine="540"/>
        <w:jc w:val="both"/>
        <w:rPr>
          <w:rFonts w:ascii="Times New Roman" w:hAnsi="Times New Roman" w:cs="Times New Roman"/>
          <w:sz w:val="28"/>
          <w:szCs w:val="28"/>
        </w:rPr>
      </w:pPr>
      <w:r>
        <w:rPr>
          <w:rFonts w:cs="Times New Roman" w:ascii="Times New Roman" w:hAnsi="Times New Roman"/>
          <w:sz w:val="28"/>
          <w:szCs w:val="28"/>
        </w:rPr>
        <w:t>1.5. При формировании обоснований бюджетных ассигнований главными распорядителями средств бюджета Партизанского муниципального округа (далее - главные распорядители) используются программно -целевые методы планирования, количественные и качественные показатели деятельности главных распорядителей, установленные муниципальными программами, а также характеризующие непрограммные направления деятельности главных распорядителей.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1.6. При планировании бюджетных ассигнований применяются следующие методы: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нормативный метод - расчет бюджетных ассигнований на исполнение расходных обязательств с применением нормативов, установленных соответствующим правовым актом;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метод индексации - расчет объема бюджетных ассигнований путем увеличения объема бюджетных ассигнований текущего (предыдущего) года на уровень инфляции;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плановый метод - установление объема бюджетных ассигнований в соответствии с показателями, указанными в нормативных правовых актах, договорах, соглашениях, определяющих расходные обязательства Партизанского муниципального округа;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иной метод - определение объема бюджетных ассигнований методом, отличным от нормативного метода, метода индексации и планового метода или сочетающим их в соответствии с действующим законодательством.</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1.7. За основу планирования бюджетных ассигнований на исполнение действующих обязательств принимаются: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для программных расходов – объемы расходов, утвержденные в ресурсном обеспечении реализации муниципальных программ Партизанского муниципального округа на соответствующий финансовый год;</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 для непрограммных расходов - на очередной финансовый год и плановый период - расходы текущего финансового года в соответствии с уточненной на 01 августа текущего финансового года сводной бюджетной росписью бюджета округа  на текущий финансовый год, с учетом анализа изменения структуры расходов.  </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1.8. Планирование бюджетных ассигнований Партизанского муниципального округа осуществляется с учётом: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прогнозируемых среднегодовых индексов потребительских цен и роста тарифов на коммунальные услуги на очередной финансовый год и плановый период;</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принятых решений об индексации (увеличении) оплаты труда работников муниципальных учреждений, органов местного самоуправления и социальных выплат.</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1.9. В целях настоящего Порядка увеличение бюджетных ассигнований бюджета Партизанского муниципального округа в связи с индексацией и (или) увеличением оплаты труда работников муниципальных учреждений, органов местного самоуправления, индексацией социальных выплат и расходов на приобретение товаров, выполнение работ и оказание услуг относится к бюджетным ассигнованиям на исполнение действующих расходных обязательств.</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1.10. В случае, если в очередном финансовом году и плановом периоде общий объем бюджетных ассигнований, сформированный в соответствии с настоящей Методикой, превышает прогнозируемый годовой объем доходов бюджета Партизанского муниципального округа и планируемый объем поступлений источников финансирования дефицита, включение в проект бюджета Партизанского муниципального округа ассигнований на исполнение принимаемых расходных обязательств осуществляется с учетом предложений главных распорядителей о перераспределении (оптимизации) бюджетных ассигнований на исполнение действующих расходных обязательств.</w:t>
      </w:r>
    </w:p>
    <w:p>
      <w:pPr>
        <w:pStyle w:val="ConsPlusNormal"/>
        <w:spacing w:before="200" w:after="0"/>
        <w:ind w:firstLine="540"/>
        <w:jc w:val="center"/>
        <w:rPr>
          <w:rFonts w:ascii="Times New Roman" w:hAnsi="Times New Roman" w:cs="Times New Roman"/>
          <w:b/>
          <w:sz w:val="28"/>
          <w:szCs w:val="28"/>
        </w:rPr>
      </w:pPr>
      <w:r>
        <w:rPr>
          <w:rFonts w:cs="Times New Roman" w:ascii="Times New Roman" w:hAnsi="Times New Roman"/>
          <w:b/>
          <w:sz w:val="28"/>
          <w:szCs w:val="28"/>
        </w:rPr>
        <w:t>2. Обоснования бюджетных ассигнований</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 Обоснования бюджетных ассигнований на фонд оплаты труда и страховые взносы в государственные внебюджетные фонды в части работников органов местного самоуправления и муниципальных казенных учреждений: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оплату труда работников органов местного самоуправления осуществляется исходя структуры органов местного самоуправления по состоянию на 1 августа текущего финансового года (в разрезе органов местного самоуправления) с учетом проекта изменений в структуру и штатную численность органов местного самоуправления и в соответствии с действующими нормативными правовыми актами, регламентирующими оплату труда лиц, замещающих муниципальные должности в Партизанском муниципальном округе, должности муниципальной службы в Партизанском муниципальном округе и с учетом установленных Правительством Приморского края нормативов формирования данных расходов;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в части фонда оплаты труда   муниципальных казенных учреждений осуществляется в соответствии с утвержденной штатной численностью по состоянию на 1 августа текущего финансового года и предполагаемых изменений штатной численности с учетом отраслевых систем оплаты по видам экономической деятельности,  параметров заработной платы, установленных для отдельных категорий работников бюджетной сферы, минимального размера оплаты труда, которые определены законодательством Российской Федерации, нормативными правовыми актами Приморского края, муниципальными нормативными правовыми актами.</w:t>
      </w:r>
    </w:p>
    <w:p>
      <w:pPr>
        <w:pStyle w:val="Normal"/>
        <w:ind w:firstLine="567"/>
        <w:jc w:val="both"/>
        <w:rPr>
          <w:rFonts w:ascii="Times New Roman" w:hAnsi="Times New Roman" w:eastAsia="Calibri" w:cs="Times New Roman" w:eastAsiaTheme="minorHAnsi"/>
          <w:sz w:val="28"/>
          <w:szCs w:val="28"/>
          <w:lang w:eastAsia="en-US"/>
        </w:rPr>
      </w:pPr>
      <w:r>
        <w:rPr>
          <w:rFonts w:cs="Times New Roman" w:ascii="Times New Roman" w:hAnsi="Times New Roman"/>
          <w:sz w:val="28"/>
          <w:szCs w:val="28"/>
        </w:rPr>
        <w:t xml:space="preserve">Планирование бюджетных ассигнований на уплату единого социального налога в Фонд пенсионного и социального страхования осуществляется  исходя из установленных тарифов страховых взносов </w:t>
      </w:r>
      <w:r>
        <w:rPr>
          <w:rFonts w:eastAsia="Calibri" w:cs="Times New Roman" w:ascii="Times New Roman" w:hAnsi="Times New Roman" w:eastAsiaTheme="minorHAnsi"/>
          <w:sz w:val="28"/>
          <w:szCs w:val="28"/>
          <w:lang w:eastAsia="en-US"/>
        </w:rPr>
        <w:t>по конкретному виду обязательного социального страхования.</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2.2. Обоснования бюджетных ассигнований на осуществление иных выплат персоналу, за исключением фонда оплаты труда, в части работников органов местного самоуправления и муниципальных казенных учреждений: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осуществление иных выплат работникам учреждений и органов местного самоуправления, за исключением фонда оплаты труда, осуществляется плановым методом на основании нормативных правовых (правовых) актов Российской Федерации, муниципальных нормативных правовых (правовых) актов, устанавливающих размер (порядок расчета размера) возмещения (компенсации), оплаты расходов по соответствующим видам иных выплат персоналу, за исключением фонда оплаты труда.</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2.3. Обоснования бюджетных ассигнований на закупку товаров, работ и услуг для обеспечения нужд органов местного самоуправления и муниципальных казенных учреждений в части оплаты коммунальных услуг:</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оплату коммунальных услуг осуществляется путем расчета среднего значения фактически сложившихся натуральных показателей потребления коммунальных услуг за два последних отчетных года, прогноза натуральных показателей потребления коммунальных услуг на текущий финансовый год с учетом изменения площадей в очередном финансовом году по сравнению с отчетным финансовым годом и ввода в эксплуатацию новых площадей (вывода из эксплуатации площадей), требований обеспечения энергоэффективности и энергосбережения и планируемых размеров тарифов на очередной финансовый год и плановый период.</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2.4. Обоснования бюджетных ассигнований на закупку товаров, работ и услуг для обеспечения нужд органов местного самоуправления и муниципальных казенных учреждений (кроме бюджетных ассигнований на оплату коммунальных услуг):</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закупку товаров, работ, услуг для обеспечения муниципальных нужд (кроме бюджетных ассигнований на оплату коммунальных услуг) осуществляется плановым, нормативным методом или методом индексации,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актами о нормировании затрат в сфере закупок.</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2.5. Обоснования бюджетных ассигнований по социальному обеспечению и иным выплатам населению: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социальное обеспечение населения и иные выплаты населению осуществляется нормативным методом исходя из нормы (размера) выплаты, установленной соответствующим нормативным правовым актом, числа ее получателей, периодичности.</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2.6. Обоснования бюджетных ассигнований на осуществление бюджетных инвестиций и предоставление субсидий на осуществление капитальных вложений в объекты капитального строительства муниципальной собственности или на приобретение объектов недвижимого имущества в муниципальную собственность:</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осуществление бюджетных инвестиций в объекты капитального строительства муниципальной собственности, приобретение объектов недвижимого имущества в муниципальную собственность, расчет бюджетных ассигнований на предоставление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осуществляется плановым методом в соответствии с решениями (проектами решений) о подготовке и реализации бюджетных инвестиций в объекты капитального строительства муниципальной собственности и (или) приобретение объектов недвижимого имущества в муниципальную собственность Партизанского муниципального округа, решениями (проектами решений) о предоставлении субсидий из бюджета Партизанского муниципального округа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Партизанского муниципального округа, подготовленными в соответствии с Порядками, установленными администрацией Партизанского муниципального округа.</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2.7. Обоснования бюджетных ассигнований на предоставление субсидий муниципальным бюджетным, автономным учреждениям на финансовое обеспечение выполнения муниципального задания на оказание муниципальных услуг (выполнение работ):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предоставление субсидий бюджетным, автономным учреждениям в целях оказания муниципальных услуг (выполнения работ) осуществляется главными распорядителями с учетом показателей муниципальных заданий на оказание муниципальных услуг (выполнения работ) на очередной финансовый год и плановый период, а также их выполнения в отчетном финансовом году и текущем финансовом году.</w:t>
      </w:r>
    </w:p>
    <w:p>
      <w:pPr>
        <w:pStyle w:val="Normal"/>
        <w:tabs>
          <w:tab w:val="clear" w:pos="708"/>
          <w:tab w:val="left" w:pos="7133" w:leader="none"/>
        </w:tabs>
        <w:ind w:firstLine="426"/>
        <w:jc w:val="both"/>
        <w:rPr>
          <w:sz w:val="26"/>
        </w:rPr>
      </w:pPr>
      <w:r>
        <w:rPr>
          <w:rFonts w:eastAsia="" w:cs="Times New Roman" w:ascii="Times New Roman" w:hAnsi="Times New Roman" w:eastAsiaTheme="minorEastAsia"/>
          <w:sz w:val="28"/>
          <w:szCs w:val="28"/>
        </w:rPr>
        <w:t xml:space="preserve">Показатели муниципальных заданий на оказание муниципальных услуг (выполнение работ) на очередной финансовый год и плановый период формируются на основе проектов муниципальных заданий, составленных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с учетом нормативных затрат на оказание муниципальных услуг (выполнение работ), утверждаемых в порядке, установленном нормативным правовым актом администрации Партизанского муниципального округа, регламентирующим </w:t>
      </w:r>
      <w:r>
        <w:rPr>
          <w:rFonts w:cs="Times New Roman" w:ascii="Times New Roman" w:hAnsi="Times New Roman"/>
          <w:sz w:val="28"/>
          <w:szCs w:val="28"/>
        </w:rPr>
        <w:t>порядок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r>
        <w:rPr>
          <w:rFonts w:eastAsia="" w:cs="Times New Roman" w:ascii="Times New Roman" w:hAnsi="Times New Roman" w:eastAsiaTheme="minorEastAsia"/>
          <w:sz w:val="28"/>
          <w:szCs w:val="28"/>
        </w:rPr>
        <w:t>.</w:t>
      </w:r>
      <w:r>
        <w:rPr>
          <w:sz w:val="26"/>
        </w:rPr>
        <w:tab/>
        <w:tab/>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Определение затрат на оплату труда с начислениями на выплаты по оплате труда работников, непосредственно связанных с оказанием муниципальных услуг, включаемых в структуру расчета базовых нормативов затрат осуществляется с учетом отраслевых систем оплаты по видам экономической деятельности, и параметров заработной платы, установленных «дорожными картами» для отдельных категорий работников бюджетной сферы.</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2.8. Обоснования бюджетных ассигнований на предоставление субсидий муниципальным учреждениям на иные цели:</w:t>
      </w:r>
    </w:p>
    <w:p>
      <w:pPr>
        <w:pStyle w:val="ConsPlusNormal"/>
        <w:ind w:firstLine="540"/>
        <w:jc w:val="both"/>
        <w:rPr>
          <w:rFonts w:ascii="Times New Roman" w:hAnsi="Times New Roman" w:cs="Times New Roman"/>
          <w:bCs/>
          <w:sz w:val="28"/>
          <w:szCs w:val="28"/>
        </w:rPr>
      </w:pPr>
      <w:r>
        <w:rPr>
          <w:rFonts w:cs="Times New Roman" w:ascii="Times New Roman" w:hAnsi="Times New Roman"/>
          <w:sz w:val="28"/>
          <w:szCs w:val="28"/>
        </w:rPr>
        <w:t>- планирование бюджетных ассигнований на предоставление бюджетным, автономным учреждениям субсидий на иные цели осуществляется плановым или иным методом в зависимости от содержания расходов в порядке, установленном нормативным правовым актом администрации Партизанского муниципального округа, регламентирующим   п</w:t>
      </w:r>
      <w:r>
        <w:rPr>
          <w:rFonts w:cs="Times New Roman" w:ascii="Times New Roman" w:hAnsi="Times New Roman"/>
          <w:bCs/>
          <w:sz w:val="28"/>
          <w:szCs w:val="28"/>
        </w:rPr>
        <w:t>орядок определения объема и условий предоставления субсидий муниципальным бюджетным и автономным учреждениям на иные цели.</w:t>
      </w:r>
    </w:p>
    <w:p>
      <w:pPr>
        <w:pStyle w:val="ConsPlusNormal"/>
        <w:spacing w:before="240" w:after="0"/>
        <w:ind w:firstLine="540"/>
        <w:jc w:val="both"/>
        <w:rPr>
          <w:rFonts w:ascii="Times New Roman" w:hAnsi="Times New Roman" w:cs="Times New Roman"/>
          <w:bCs/>
          <w:sz w:val="28"/>
          <w:szCs w:val="28"/>
        </w:rPr>
      </w:pPr>
      <w:r>
        <w:rPr>
          <w:rFonts w:cs="Times New Roman" w:ascii="Times New Roman" w:hAnsi="Times New Roman"/>
          <w:sz w:val="28"/>
          <w:szCs w:val="28"/>
        </w:rPr>
        <w:t>2.9. Обоснование бюджетных ассигнований на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предоставляемых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w:t>
      </w:r>
      <w:r>
        <w:rPr>
          <w:rFonts w:eastAsia="Calibri" w:cs="Times New Roman" w:ascii="Times New Roman" w:hAnsi="Times New Roman" w:eastAsiaTheme="minorHAnsi"/>
          <w:sz w:val="28"/>
          <w:szCs w:val="28"/>
          <w:lang w:eastAsia="en-US"/>
        </w:rPr>
        <w:t xml:space="preserve"> оказанием услуг </w:t>
      </w:r>
      <w:r>
        <w:rPr>
          <w:rFonts w:cs="Times New Roman" w:ascii="Times New Roman" w:hAnsi="Times New Roman"/>
          <w:sz w:val="28"/>
          <w:szCs w:val="28"/>
        </w:rPr>
        <w:t xml:space="preserve">осуществляется по каждому виду субсидии раздельно, исходя из отраслевых особенностей, в соответствии с муниципальными правовыми актами органов местного самоуправления Партизанского муниципального </w:t>
      </w:r>
      <w:r>
        <w:rPr>
          <w:rFonts w:cs="Times New Roman" w:ascii="Times New Roman" w:hAnsi="Times New Roman"/>
          <w:sz w:val="28"/>
          <w:szCs w:val="28"/>
        </w:rPr>
        <w:t>округа</w:t>
      </w:r>
      <w:r>
        <w:rPr>
          <w:rFonts w:cs="Times New Roman" w:ascii="Times New Roman" w:hAnsi="Times New Roman"/>
          <w:sz w:val="28"/>
          <w:szCs w:val="28"/>
        </w:rPr>
        <w:t xml:space="preserve">, определяющими размеры, цели, условия и порядок предоставления субсидий. </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2.10. Обоснования бюджетных ассигнований в части расходов на обслуживание муниципального долга: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обслуживание муниципального долга Партизанского муниципального округа осуществляется иным методом на основании договоров займа и планируемых заимствований в соответствии с объемами займов, сроками их возврата, процентными ставками.</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2.11. Обоснования бюджетных ассигнований на исполнение судебных актов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 планирование бюджетных ассигнований на исполнение судебных актов по искам к Партизанскому муниципальному округу осуществляется из расчета среднего арифметического значения фактического показателя кассовых выплат за два последних отчетных года и оценки исполнения данных расходов в текущем финансовом году, а также с учетом предъявленных к исполнению и неисполненных судебных актов в текущем финансовом году и планируемых к поступлению исполнительных документов. </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2.12. Обоснования бюджетных ассигнований на исполнение муниципальных гарантий: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исполнение муниципальных гарантий Партизанского муниципального округа осуществляется на основании программы муниципальных гарантий Партизанского муниципального округа в соответствии с Порядком, установленным решением Думы Партизанского муниципального округа</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2.13. Обоснования бюджетных ассигнований в части уплаты налогов, сборов и иных платежей: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планирование бюджетных ассигнований на уплату налогов, сборов и иных платежей осуществляется в соответствии с действующим законодательством Российской Федерации, регламентирующим порядок исчисления налогов (сборов) исходя из прогноза налогооблагаемой базы и налоговых ставок.</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 xml:space="preserve">2.14. Бюджетные ассигнования на мероприятия по предупреждению и ликвидации чрезвычайных ситуаций природного и техногенного характера на территории Партизанского муниципального округа включаются в проект бюджета округа на очередной финансовый год и плановый период </w:t>
      </w:r>
      <w:r>
        <w:rPr>
          <w:rFonts w:cs="Times New Roman" w:ascii="Times New Roman" w:hAnsi="Times New Roman"/>
          <w:color w:val="000000"/>
          <w:sz w:val="28"/>
          <w:szCs w:val="28"/>
        </w:rPr>
        <w:t>в размерах, не превышающих объемов соответствующих расходов текущего финансового года.</w:t>
      </w:r>
      <w:r>
        <w:rPr>
          <w:rFonts w:cs="Times New Roman" w:ascii="Times New Roman" w:hAnsi="Times New Roman"/>
          <w:sz w:val="28"/>
          <w:szCs w:val="28"/>
        </w:rPr>
        <w:t xml:space="preserve"> </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2.15. Планирование бюджетных ассигнований на дорожную деятельность осуществляется с учетом нормативов финансовых затрат на ремонт и содержание автомобильных дорог и с учетом планируемого объема Дорожного фонда Партизанского муниципального округа.</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t>2.16. Планирование бюджетных ассигнований на исполнение расходных обязательств Партизанского муниципального округа за счет межбюджетных трансфертов, предоставляемых из вышестоящего бюджета, осуществляется в пределах параметров проекта Закона о краевом бюджете на очередной финансовый год и плановый период.</w:t>
      </w:r>
    </w:p>
    <w:p>
      <w:pPr>
        <w:pStyle w:val="ConsPlusNormal"/>
        <w:spacing w:before="20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before="200" w:after="0"/>
        <w:ind w:firstLine="540"/>
        <w:jc w:val="center"/>
        <w:rPr>
          <w:rFonts w:ascii="Times New Roman" w:hAnsi="Times New Roman" w:cs="Times New Roman"/>
          <w:sz w:val="28"/>
          <w:szCs w:val="28"/>
        </w:rPr>
      </w:pPr>
      <w:r>
        <w:rPr>
          <w:rFonts w:cs="Times New Roman" w:ascii="Times New Roman" w:hAnsi="Times New Roman"/>
          <w:sz w:val="28"/>
          <w:szCs w:val="28"/>
        </w:rPr>
        <w:t>___________________</w:t>
      </w:r>
    </w:p>
    <w:p>
      <w:pPr>
        <w:pStyle w:val="ConsPlusNormal"/>
        <w:spacing w:before="200" w:after="0"/>
        <w:ind w:firstLine="540"/>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both"/>
        <w:rPr/>
      </w:pPr>
      <w:r>
        <w:rPr/>
      </w:r>
    </w:p>
    <w:sectPr>
      <w:headerReference w:type="default" r:id="rId2"/>
      <w:type w:val="nextPage"/>
      <w:pgSz w:w="11906" w:h="16838"/>
      <w:pgMar w:left="1701" w:right="850" w:gutter="0" w:header="708"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G Times">
    <w:charset w:val="01"/>
    <w:family w:val="roman"/>
    <w:pitch w:val="default"/>
  </w:font>
  <w:font w:name="PT Astra Serif">
    <w:charset w:val="01"/>
    <w:family w:val="roman"/>
    <w:pitch w:val="default"/>
  </w:font>
  <w:font w:name="Arial">
    <w:charset w:val="01"/>
    <w:family w:val="roman"/>
    <w:pitch w:val="default"/>
  </w:font>
  <w:font w:name="Courier New">
    <w:charset w:val="01"/>
    <w:family w:val="roman"/>
    <w:pitch w:val="default"/>
  </w:font>
  <w:font w:name="Tahoma">
    <w:charset w:val="01"/>
    <w:family w:val="roman"/>
    <w:pitch w:val="default"/>
  </w:font>
  <w:font w:name="Times New Roman">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984610"/>
    </w:sdtPr>
    <w:sdtContent>
      <w:p>
        <w:pPr>
          <w:pStyle w:val="Header"/>
          <w:jc w:val="center"/>
          <w:rPr/>
        </w:pPr>
        <w:r>
          <w:rPr/>
          <w:fldChar w:fldCharType="begin"/>
        </w:r>
        <w:r>
          <w:rPr/>
          <w:instrText xml:space="preserve"> PAGE </w:instrText>
        </w:r>
        <w:r>
          <w:rPr/>
          <w:fldChar w:fldCharType="separate"/>
        </w:r>
        <w:r>
          <w:rPr/>
          <w:t>7</w:t>
        </w:r>
        <w:r>
          <w:rPr/>
          <w:fldChar w:fldCharType="end"/>
        </w:r>
      </w:p>
    </w:sdtContent>
  </w:sdt>
  <w:p>
    <w:pPr>
      <w:pStyle w:val="Header"/>
      <w:rPr/>
    </w:pPr>
    <w:r>
      <w:rPr/>
    </w:r>
  </w:p>
</w:hdr>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d6a62"/>
    <w:pPr>
      <w:widowControl/>
      <w:suppressAutoHyphens w:val="true"/>
      <w:bidi w:val="0"/>
      <w:spacing w:lineRule="auto" w:line="240" w:before="0" w:after="0"/>
      <w:jc w:val="left"/>
    </w:pPr>
    <w:rPr>
      <w:rFonts w:ascii="CG Times" w:hAnsi="CG Times" w:eastAsia="Times New Roman" w:cs="CG Times"/>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8430ed"/>
    <w:rPr/>
  </w:style>
  <w:style w:type="character" w:styleId="Style15" w:customStyle="1">
    <w:name w:val="Нижний колонтитул Знак"/>
    <w:basedOn w:val="DefaultParagraphFont"/>
    <w:uiPriority w:val="99"/>
    <w:semiHidden/>
    <w:qFormat/>
    <w:rsid w:val="000059d3"/>
    <w:rPr>
      <w:rFonts w:ascii="CG Times" w:hAnsi="CG Times" w:eastAsia="Times New Roman" w:cs="CG Times"/>
      <w:sz w:val="20"/>
      <w:szCs w:val="20"/>
      <w:lang w:eastAsia="ru-RU"/>
    </w:rPr>
  </w:style>
  <w:style w:type="paragraph" w:styleId="Style16">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17">
    <w:name w:val="Указатель"/>
    <w:basedOn w:val="Normal"/>
    <w:qFormat/>
    <w:pPr>
      <w:suppressLineNumbers/>
    </w:pPr>
    <w:rPr>
      <w:rFonts w:ascii="PT Astra Serif" w:hAnsi="PT Astra Serif" w:cs="Noto Sans Devanagari"/>
    </w:rPr>
  </w:style>
  <w:style w:type="paragraph" w:styleId="ConsPlusNormal" w:customStyle="1">
    <w:name w:val="ConsPlusNormal"/>
    <w:qFormat/>
    <w:rsid w:val="007710d5"/>
    <w:pPr>
      <w:widowControl w:val="false"/>
      <w:suppressAutoHyphens w:val="true"/>
      <w:bidi w:val="0"/>
      <w:spacing w:lineRule="auto" w:line="240" w:before="0" w:after="0"/>
      <w:jc w:val="left"/>
    </w:pPr>
    <w:rPr>
      <w:rFonts w:ascii="Arial" w:hAnsi="Arial" w:eastAsia="" w:cs="Arial" w:eastAsiaTheme="minorEastAsia"/>
      <w:color w:val="auto"/>
      <w:kern w:val="0"/>
      <w:sz w:val="20"/>
      <w:szCs w:val="22"/>
      <w:lang w:val="ru-RU" w:eastAsia="ru-RU" w:bidi="ar-SA"/>
    </w:rPr>
  </w:style>
  <w:style w:type="paragraph" w:styleId="ConsPlusNonformat" w:customStyle="1">
    <w:name w:val="ConsPlusNonformat"/>
    <w:qFormat/>
    <w:rsid w:val="007710d5"/>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2"/>
      <w:lang w:val="ru-RU" w:eastAsia="ru-RU" w:bidi="ar-SA"/>
    </w:rPr>
  </w:style>
  <w:style w:type="paragraph" w:styleId="ConsPlusTitle" w:customStyle="1">
    <w:name w:val="ConsPlusTitle"/>
    <w:qFormat/>
    <w:rsid w:val="007710d5"/>
    <w:pPr>
      <w:widowControl w:val="false"/>
      <w:suppressAutoHyphens w:val="true"/>
      <w:bidi w:val="0"/>
      <w:spacing w:lineRule="auto" w:line="240" w:before="0" w:after="0"/>
      <w:jc w:val="left"/>
    </w:pPr>
    <w:rPr>
      <w:rFonts w:ascii="Arial" w:hAnsi="Arial" w:eastAsia="" w:cs="Arial" w:eastAsiaTheme="minorEastAsia"/>
      <w:b/>
      <w:color w:val="auto"/>
      <w:kern w:val="0"/>
      <w:sz w:val="20"/>
      <w:szCs w:val="22"/>
      <w:lang w:val="ru-RU" w:eastAsia="ru-RU" w:bidi="ar-SA"/>
    </w:rPr>
  </w:style>
  <w:style w:type="paragraph" w:styleId="ConsPlusCell" w:customStyle="1">
    <w:name w:val="ConsPlusCell"/>
    <w:qFormat/>
    <w:rsid w:val="007710d5"/>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2"/>
      <w:lang w:val="ru-RU" w:eastAsia="ru-RU" w:bidi="ar-SA"/>
    </w:rPr>
  </w:style>
  <w:style w:type="paragraph" w:styleId="ConsPlusDocList" w:customStyle="1">
    <w:name w:val="ConsPlusDocList"/>
    <w:qFormat/>
    <w:rsid w:val="007710d5"/>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2"/>
      <w:lang w:val="ru-RU" w:eastAsia="ru-RU" w:bidi="ar-SA"/>
    </w:rPr>
  </w:style>
  <w:style w:type="paragraph" w:styleId="ConsPlusTitlePage" w:customStyle="1">
    <w:name w:val="ConsPlusTitlePage"/>
    <w:qFormat/>
    <w:rsid w:val="007710d5"/>
    <w:pPr>
      <w:widowControl w:val="false"/>
      <w:suppressAutoHyphens w:val="true"/>
      <w:bidi w:val="0"/>
      <w:spacing w:lineRule="auto" w:line="240" w:before="0" w:after="0"/>
      <w:jc w:val="left"/>
    </w:pPr>
    <w:rPr>
      <w:rFonts w:ascii="Tahoma" w:hAnsi="Tahoma" w:eastAsia="" w:cs="Tahoma" w:eastAsiaTheme="minorEastAsia"/>
      <w:color w:val="auto"/>
      <w:kern w:val="0"/>
      <w:sz w:val="20"/>
      <w:szCs w:val="22"/>
      <w:lang w:val="ru-RU" w:eastAsia="ru-RU" w:bidi="ar-SA"/>
    </w:rPr>
  </w:style>
  <w:style w:type="paragraph" w:styleId="ConsPlusJurTerm" w:customStyle="1">
    <w:name w:val="ConsPlusJurTerm"/>
    <w:qFormat/>
    <w:rsid w:val="007710d5"/>
    <w:pPr>
      <w:widowControl w:val="false"/>
      <w:suppressAutoHyphens w:val="true"/>
      <w:bidi w:val="0"/>
      <w:spacing w:lineRule="auto" w:line="240" w:before="0" w:after="0"/>
      <w:jc w:val="left"/>
    </w:pPr>
    <w:rPr>
      <w:rFonts w:ascii="Tahoma" w:hAnsi="Tahoma" w:eastAsia="" w:cs="Tahoma" w:eastAsiaTheme="minorEastAsia"/>
      <w:color w:val="auto"/>
      <w:kern w:val="0"/>
      <w:sz w:val="26"/>
      <w:szCs w:val="22"/>
      <w:lang w:val="ru-RU" w:eastAsia="ru-RU" w:bidi="ar-SA"/>
    </w:rPr>
  </w:style>
  <w:style w:type="paragraph" w:styleId="ConsPlusTextList" w:customStyle="1">
    <w:name w:val="ConsPlusTextList"/>
    <w:qFormat/>
    <w:rsid w:val="007710d5"/>
    <w:pPr>
      <w:widowControl w:val="false"/>
      <w:suppressAutoHyphens w:val="true"/>
      <w:bidi w:val="0"/>
      <w:spacing w:lineRule="auto" w:line="240" w:before="0" w:after="0"/>
      <w:jc w:val="left"/>
    </w:pPr>
    <w:rPr>
      <w:rFonts w:ascii="Arial" w:hAnsi="Arial" w:eastAsia="" w:cs="Arial" w:eastAsiaTheme="minorEastAsia"/>
      <w:color w:val="auto"/>
      <w:kern w:val="0"/>
      <w:sz w:val="20"/>
      <w:szCs w:val="22"/>
      <w:lang w:val="ru-RU" w:eastAsia="ru-RU" w:bidi="ar-SA"/>
    </w:rPr>
  </w:style>
  <w:style w:type="paragraph" w:styleId="Style18">
    <w:name w:val="Колонтитул"/>
    <w:basedOn w:val="Normal"/>
    <w:qFormat/>
    <w:pPr/>
    <w:rPr/>
  </w:style>
  <w:style w:type="paragraph" w:styleId="Header">
    <w:name w:val="Header"/>
    <w:basedOn w:val="Normal"/>
    <w:link w:val="Style14"/>
    <w:uiPriority w:val="99"/>
    <w:unhideWhenUsed/>
    <w:rsid w:val="008430ed"/>
    <w:pPr>
      <w:tabs>
        <w:tab w:val="clear" w:pos="708"/>
        <w:tab w:val="center" w:pos="4677" w:leader="none"/>
        <w:tab w:val="right" w:pos="9355" w:leader="none"/>
      </w:tabs>
    </w:pPr>
    <w:rPr>
      <w:rFonts w:ascii="Calibri" w:hAnsi="Calibri" w:eastAsia="Calibri" w:cs="" w:asciiTheme="minorHAnsi" w:cstheme="minorBidi" w:eastAsiaTheme="minorHAnsi" w:hAnsiTheme="minorHAnsi"/>
      <w:sz w:val="22"/>
      <w:szCs w:val="22"/>
      <w:lang w:eastAsia="en-US"/>
    </w:rPr>
  </w:style>
  <w:style w:type="paragraph" w:styleId="1" w:customStyle="1">
    <w:name w:val="заголовок 1"/>
    <w:basedOn w:val="Normal"/>
    <w:next w:val="Normal"/>
    <w:qFormat/>
    <w:rsid w:val="00c44402"/>
    <w:pPr>
      <w:keepNext w:val="true"/>
      <w:spacing w:before="120" w:after="240"/>
      <w:jc w:val="center"/>
    </w:pPr>
    <w:rPr>
      <w:b/>
      <w:bCs/>
      <w:sz w:val="28"/>
      <w:szCs w:val="28"/>
    </w:rPr>
  </w:style>
  <w:style w:type="paragraph" w:styleId="Footer">
    <w:name w:val="Footer"/>
    <w:basedOn w:val="Normal"/>
    <w:link w:val="Style15"/>
    <w:uiPriority w:val="99"/>
    <w:semiHidden/>
    <w:unhideWhenUsed/>
    <w:rsid w:val="000059d3"/>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5">
    <w:name w:val="Table Grid"/>
    <w:basedOn w:val="a1"/>
    <w:uiPriority w:val="59"/>
    <w:rsid w:val="00f1334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C56F9-C884-47C4-84B2-857EB95C4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Application>LibreOffice/7.6.7.2$Linux_X86_64 LibreOffice_project/60$Build-2</Application>
  <AppVersion>15.0000</AppVersion>
  <Pages>7</Pages>
  <Words>1810</Words>
  <Characters>14281</Characters>
  <CharactersWithSpaces>16045</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2022-11-23T03:46:00Z</dcterms:created>
  <dc:creator>Boyko</dc:creator>
  <dc:description/>
  <dc:language>ru-RU</dc:language>
  <cp:lastModifiedBy/>
  <cp:lastPrinted>2025-03-11T15:28:17Z</cp:lastPrinted>
  <dcterms:modified xsi:type="dcterms:W3CDTF">2025-03-11T16:04:11Z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