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  <w:b/>
          <w:bCs/>
          <w:sz w:val="26"/>
          <w:szCs w:val="26"/>
        </w:rPr>
        <w:t>ИЗВЕЩЕНИЕ О ПРОВЕДЕНИИ АУКЦИОНА В ЭЛЕКТРОННОЙ ФОРМЕ</w:t>
      </w:r>
    </w:p>
    <w:p>
      <w:pPr>
        <w:pStyle w:val="Normal"/>
        <w:jc w:val="center"/>
        <w:rPr>
          <w:rFonts w:ascii="PT Astra Serif" w:hAnsi="PT Astra Serif"/>
          <w:b/>
          <w:bCs/>
          <w:sz w:val="18"/>
          <w:szCs w:val="18"/>
        </w:rPr>
      </w:pPr>
      <w:r>
        <w:rPr>
          <w:rFonts w:ascii="PT Astra Serif" w:hAnsi="PT Astra Serif"/>
          <w:b/>
          <w:bCs/>
          <w:sz w:val="18"/>
          <w:szCs w:val="18"/>
        </w:rPr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6"/>
          <w:szCs w:val="26"/>
        </w:rPr>
        <w:t>на право заключения договора аренды земельного участка,</w:t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6"/>
          <w:szCs w:val="26"/>
        </w:rPr>
        <w:t>государственная собственность на который не разграничена</w:t>
      </w:r>
    </w:p>
    <w:p>
      <w:pPr>
        <w:pStyle w:val="Normal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6"/>
          <w:szCs w:val="26"/>
        </w:rPr>
        <w:t>1. Общие положения об аукционе в электронной форме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sz w:val="28"/>
          <w:szCs w:val="28"/>
        </w:rPr>
        <w:t xml:space="preserve">1.1. Уполномоченный орган (арендодатель) — администрация Партизанского муниципального округа. Место нахождения, почтовый адрес, адрес электронной почты и номер контактного телефона уполномоченного органа: 692962, Приморский край, Партизанский муниципальный округ,                  с. Владимиро-Александровское, ул. Комсомольская, д. 45 А, adm@partizansky.ru, 8-42365-21-0-88. Официальный сайт: </w:t>
      </w:r>
      <w:hyperlink r:id="rId2">
        <w:r>
          <w:rPr>
            <w:rStyle w:val="Hyperlink"/>
            <w:rFonts w:ascii="PT Astra Serif" w:hAnsi="PT Astra Serif"/>
            <w:sz w:val="28"/>
            <w:szCs w:val="28"/>
          </w:rPr>
          <w:t>http://rayon.partizansky.ru/</w:t>
        </w:r>
      </w:hyperlink>
      <w:r>
        <w:rPr>
          <w:rStyle w:val="Hyperlink"/>
          <w:rFonts w:ascii="PT Astra Serif" w:hAnsi="PT Astra Serif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sz w:val="28"/>
          <w:szCs w:val="28"/>
        </w:rPr>
        <w:t xml:space="preserve">1.2. Организатор аукциона — администрация Партизанского муниципального округа. Место нахождения, почтовый адрес, адрес электронной почты и номер контактного телефона уполномоченного органа: 692962, Приморский край, Партизанский муниципальный округ, с. Владимиро-Александровское, ул. Комсомольская, д. 45 А, adm@partizansky.ru,  8-42365-21-0-88. Официальный сайт: </w:t>
      </w:r>
      <w:hyperlink r:id="rId3">
        <w:r>
          <w:rPr>
            <w:rStyle w:val="Hyperlink"/>
            <w:rFonts w:ascii="PT Astra Serif" w:hAnsi="PT Astra Serif"/>
            <w:sz w:val="28"/>
            <w:szCs w:val="28"/>
          </w:rPr>
          <w:t>http://rayon.partizansky.ru/</w:t>
        </w:r>
      </w:hyperlink>
      <w:r>
        <w:rPr>
          <w:rStyle w:val="Hyperlink"/>
          <w:rFonts w:ascii="PT Astra Serif" w:hAnsi="PT Astra Serif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1.3. Аукцион в электронной форме проводится на основании постановления администрации Партизанского муниципального округа Приморского края от 23.04.2025 № 482 «О проведении торгов в форме электронного аукциона на право заключения договора аренды земельного участка с кадастровым номером 25:13:020315:8576».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sz w:val="28"/>
          <w:szCs w:val="28"/>
        </w:rPr>
        <w:t xml:space="preserve">1.4. Аукцион в электронной форме (электронный аукцион) проводится на электронной торговой площадке для государственных и муниципальных закупок (далее - электронная площадка, ЭТП) https://www.rts-tender.ru/ «Имущественные торги», оператором которой является Общество                              с ограниченной ответственностью «РТС-тендер» (ООО «РТС-тендер»). Место нахождения, почтовый адрес, адрес электронной почты и номер контактного телефона оператора: 121151, город Москва, набережная Тараса Шевченко, дом 23А, тел.: +7 (800) 77-55-800 (звонок по России бесплатный), </w:t>
      </w:r>
      <w:hyperlink r:id="rId4">
        <w:r>
          <w:rPr>
            <w:rStyle w:val="Hyperlink"/>
            <w:rFonts w:ascii="PT Astra Serif" w:hAnsi="PT Astra Serif"/>
            <w:sz w:val="28"/>
            <w:szCs w:val="28"/>
          </w:rPr>
          <w:t>iSupport@rts-tender.ru</w:t>
        </w:r>
      </w:hyperlink>
      <w:r>
        <w:rPr>
          <w:rFonts w:ascii="PT Astra Serif" w:hAnsi="PT Astra Serif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1.5. Электронный аукцион является открытым по составу участников и по форме подачи предложений о размере годовой арендной платы за земельный участок.</w:t>
      </w:r>
    </w:p>
    <w:p>
      <w:pPr>
        <w:pStyle w:val="Normal"/>
        <w:jc w:val="both"/>
        <w:rPr>
          <w:rFonts w:ascii="PT Astra Serif" w:hAnsi="PT Astra Serif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2. Сведения о предмете аукциона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2.1. Предмет электронного аукциона - право заключения договора аренды земельного участка с кадастровым номером </w:t>
      </w:r>
      <w:r>
        <w:rPr>
          <w:color w:val="000000"/>
          <w:sz w:val="28"/>
          <w:szCs w:val="28"/>
        </w:rPr>
        <w:t>25:13:020315:8576</w:t>
      </w:r>
      <w:r>
        <w:rPr>
          <w:rFonts w:ascii="PT Astra Serif" w:hAnsi="PT Astra Serif"/>
          <w:sz w:val="28"/>
          <w:szCs w:val="28"/>
        </w:rPr>
        <w:t xml:space="preserve"> площадью             21 кв. метр. Местоположение: установлено относительно ориентира, расположенного за пределами участка. Ориентир дом. Участок находится примерно в 40 метрах по направлению на юго-запад от ориентира. Почтовый  адрес ориентира: Российская Федерация, Приморский край, Партизанский муниципальный округ, с.Владимиро-Александровское, ул.Комсомольская, д.77А. Категория земель: земли населенных пунктов. Вид разрешенного использования: хранение автотранспорта</w:t>
      </w:r>
      <w:r>
        <w:rPr>
          <w:rStyle w:val="FootnoteReference"/>
          <w:rFonts w:ascii="PT Astra Serif" w:hAnsi="PT Astra Serif"/>
          <w:sz w:val="28"/>
          <w:szCs w:val="28"/>
        </w:rPr>
        <w:footnoteReference w:id="2"/>
      </w:r>
      <w:r>
        <w:rPr>
          <w:rFonts w:ascii="PT Astra Serif" w:hAnsi="PT Astra Serif"/>
          <w:sz w:val="28"/>
          <w:szCs w:val="28"/>
        </w:rPr>
        <w:t xml:space="preserve">. Срок аренды: 2 года 6 месяцев.  </w:t>
      </w:r>
      <w:r>
        <w:rPr>
          <w:bCs/>
          <w:iCs/>
          <w:color w:val="000000"/>
          <w:sz w:val="28"/>
          <w:szCs w:val="28"/>
        </w:rPr>
        <w:t xml:space="preserve">Начальная цена предмета аукциона на право заключения договора аренды земельного </w:t>
      </w:r>
      <w:r>
        <w:rPr>
          <w:bCs/>
          <w:iCs/>
          <w:color w:themeColor="dark1" w:val="000000"/>
          <w:sz w:val="28"/>
          <w:szCs w:val="28"/>
        </w:rPr>
        <w:t>участка (размер ежегодной арендной платы за пользование земельным участком) – 1 235</w:t>
      </w:r>
      <w:r>
        <w:rPr>
          <w:bCs/>
          <w:iCs/>
          <w:color w:val="C9211E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(одна тысяча двести тридцать пять) рублей 73 копейки.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Ограничения по использованию: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отсутствуют.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Границы земельного участка (схема) указаны в выписке из Единого государственного реестра недвижимости об объекте недвижимости                    от 15.05.2025 № КУВИ-001/2025-105610458 (далее - Выписка). Выписка содержится в материалах, приложенных к настоящему Извещению, и доступна для ознакомления всем заинтересованным лицам.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Особые отметки: 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2.2. Согласно Правил землепользования и застройки Владимиро-Александровского сельского поселения Партизанского муниципального района Приморского края, утвержденными решением муниципального комитета Владимиро-Александровского сельского поселения от 11.12.2013 № 47 (в ред. муниципальных правовых актов от 25.03.2016 № 263-МПА, от 13.06.2019 № 99-МПА, от 17.12.2020 № 263-МПА, от 29.07.2021 № 314-МПА, от 07.07.2022                        № 414-МПА, от 09.09.2022 № 424-МПА, от 29.09.2022 № 428-МПА,                          принятых решениями Думы Партизанского муниципального района Приморского края, муниципальных правовых актов от 29.06.2023 № 20-МПА, от 25.01.2024 № 128-МПА, от 15.02.2024 № 145-МПА, от 04.04.2024 № 185-МПА, от 11.12.2024 № 270-МПА, от 19.12.2024 № 275-МПА, принятых решениями Думы Партизанского муниципального округа Приморского края)</w:t>
      </w:r>
      <w:r>
        <w:rPr>
          <w:rStyle w:val="FootnoteReference"/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footnoteReference w:id="3"/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Для вида разрешённого использования земельного участка «Для ведения личного подсобного хозяйства» установлены следующие критерии: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1. Описание вида разрешённого использования земельного участка: 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2. Предельные (минимальные и (или) максимальные) размеры земельных участков, в том числе их площадь: 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размеры земельных участков (минимальный размер по фронту застройки со стороны улиц)— 1,5 м;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минимальная площадь земельных участков - 6 кв.м;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максимальная площадь земельных участков — 1500 кв.м;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 3 м, со стороны улиц 5 м;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предельное количество этажей зданий, строений, сооружений — 5 эт;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предельная высота зданий, строений, сооружений - 14 м.</w:t>
      </w:r>
    </w:p>
    <w:p>
      <w:pPr>
        <w:pStyle w:val="Normal"/>
        <w:widowControl w:val="false"/>
        <w:spacing w:lineRule="auto" w:line="240"/>
        <w:ind w:firstLine="601"/>
        <w:jc w:val="both"/>
        <w:rPr>
          <w:color w:val="auto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— 40%.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2.3.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содержится в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</w:t>
      </w: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Приложении 3 к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настоящему Извещению: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 xml:space="preserve">1) </w:t>
      </w: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Сети водоснабжения и канализации.</w:t>
      </w:r>
      <w:r>
        <w:rPr>
          <w:rFonts w:ascii="PT Astra Serif" w:hAnsi="PT Astra Serif"/>
          <w:color w:val="000000"/>
          <w:sz w:val="28"/>
          <w:szCs w:val="28"/>
          <w:shd w:fill="auto" w:val="clear"/>
        </w:rPr>
        <w:t xml:space="preserve"> Согласно Технических рекомендаций МКП «РХУ» Партизанского муниципального округа: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1. Ближайшая точка подключения к сетям водоотведения от данного земельного участка, в существующий колодец, расположенный в 22 м к юго-западу по улице Комсомольская.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2. Ближайшая точка подключения к сетям водоснабжения от данного земельного участка, в существующий колодец, расположенный в 14 м. К северо-западу по улице Комсомольская.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3. В течение 1 года с момента получения данных технических рекомендаций правообладатель земельного участка должен обратиться в МКП «РХУ» ПМО с заявлением о заключении договора на подключение к централизованной системе холодного водоснабжения и водоотведения и  получить технические условия на подключение.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В случае, если в течение 1 года с момента получения данных технических рекомендаций правообладатель земельного участка не обратится с заявлением о подключении в МКП «РХУ» ПМО, то срок действия данных технических рекомендаций прекращается.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4. В связи с отсутствием в инвестиционной программе, для бесперебойного оказания услуг, необходимые для подключения к сетям водоснабжения в точке подключения на границе существующих сетей выполняются за счет средств правообладателя земельного участка.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5. Состав и стоимость вышеуказанных работ определяется на основании условий МКП «РХУ» ПМО на подключение объекта капитального строительства к сетям водоснабжения и  регламентируются заключаемым в случае выдачи условий  на подключение договором.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 xml:space="preserve">2) </w:t>
      </w: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 xml:space="preserve">Сети теплоснабжения. </w:t>
      </w:r>
      <w:r>
        <w:rPr>
          <w:rFonts w:ascii="PT Astra Serif" w:hAnsi="PT Astra Serif"/>
          <w:color w:val="000000"/>
          <w:sz w:val="28"/>
          <w:szCs w:val="28"/>
          <w:shd w:fill="auto" w:val="clear"/>
        </w:rPr>
        <w:t>Согласно письму КГУП «ПРИМТЕПЛОЭНЕРГО» Партизанский филиал: подключение к централизованным сетям теплоснабжения не предоставляется возможным, в связи с отсутствием технической возможности.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 xml:space="preserve">3) </w:t>
      </w: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 xml:space="preserve">Сети электроснабжения.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Согласно письму АО «Дальневосточная распределительная сетевая компания» филиал «Приморские электрические сети» структурное подразделение «Приморские южные электрические сети»: для электроснабжения объекта на данном земельном участке, выполнить мероприятия от существующей ВЛ-0,4 кВ ф.2 КТП 92 кв.дом ВЛ 6 кВ ф.5 ПС 35/6 Владимиро-Александровское.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По договору об осуществлении технологического присоединения сетевая организация выполняет мероприятия до границы участка заявителя.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Обращаю Ваше внимание на то, что данные мероприятия технологического присоединения являются предварительными и подлежат уточнению после подачи в адрес филиала заявки на технологическое присоединение с приложением необходимых документов владельца-заявителя.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2.4. Начальная цена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предмета аукциона на право заключения договора аренды земельного участка (размер ежегодной арендной платы за пользование земельным участком) – </w:t>
      </w:r>
      <w:r>
        <w:rPr>
          <w:rFonts w:ascii="PT Astra Serif" w:hAnsi="PT Astra Serif"/>
          <w:b w:val="false"/>
          <w:bCs/>
          <w:iCs/>
          <w:color w:themeColor="dark1" w:val="000000"/>
          <w:sz w:val="28"/>
          <w:szCs w:val="28"/>
          <w:shd w:fill="auto" w:val="clear"/>
        </w:rPr>
        <w:t>1 235</w:t>
      </w:r>
      <w:r>
        <w:rPr>
          <w:b w:val="false"/>
          <w:bCs/>
          <w:iCs/>
          <w:color w:val="000000"/>
          <w:sz w:val="28"/>
          <w:szCs w:val="28"/>
          <w:shd w:fill="auto" w:val="clear"/>
        </w:rPr>
        <w:t xml:space="preserve"> (одна тысяча двести тридцать пять) рублей                  73 копейки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Сумма задатка определена в размере 10% от начальной цены предмета аукциона на земельный участок, что составляет 123 (сто двадцать три) рубля  57 копеек.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«Шаг аукциона» равен 5 %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от начальной цены предмета аукциона и составляет 61 (шестьдесят один) рубль 78 копеек.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Цена предмета аукциона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 xml:space="preserve"> (размер арендной платы указанного земельного участка в год) - согласно протоколу о результатах аукциона на право заключения договора аренды земельного участка, но не ниже начальной цены предмета аукциона (начального размера арендной платы за земельный участок), перечисляется покупателем в порядке и сроки, установленные договором аренды земельного участка по реквизитам, указанным в договоре аренды земельного участка. Сумма задатка засчитывается в счет оплаты заявителем, признанным победителем аукциона, арендной платы за земельный участок.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 w:val="false"/>
          <w:bCs w:val="false"/>
          <w:color w:val="000000"/>
        </w:rPr>
      </w:pPr>
      <w:r>
        <w:rPr>
          <w:rFonts w:ascii="PT Astra Serif" w:hAnsi="PT Astra Serif"/>
          <w:b w:val="false"/>
          <w:bCs w:val="false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3. Место, сроки и время подачи заявок на участие в аукционе, рассмотрения заявок, проведения и подведения итогов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3.1. В настоящем информационном сообщении указывается местное время (по г. Владивостоку) и Московское время, в котором функционирует электронная площадка. Время фиксируется по времени сервера, на котором функционирует электронная площадка.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3.2. Место подачи заявок, проведения аукциона и подведения итогов ау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</w:rPr>
        <w:t>кциона – электронная площадка ООО «РТС-тендер»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single"/>
        </w:rPr>
        <w:t xml:space="preserve"> </w:t>
      </w:r>
      <w:hyperlink r:id="rId5">
        <w:r>
          <w:rPr>
            <w:rStyle w:val="Hyperlink"/>
            <w:rFonts w:ascii="PT Astra Serif" w:hAnsi="PT Astra Serif"/>
            <w:b w:val="false"/>
            <w:bCs w:val="false"/>
            <w:color w:val="000000"/>
            <w:sz w:val="28"/>
            <w:szCs w:val="28"/>
            <w:u w:val="single"/>
          </w:rPr>
          <w:t>https://www.rts-tender.ru/</w:t>
        </w:r>
      </w:hyperlink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single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3.3. Дата и время начала подачи заявок - 20 мая 2025 года в 07 часов 00 минут</w:t>
      </w:r>
      <w:r>
        <w:rPr>
          <w:rFonts w:ascii="PT Astra Serif" w:hAnsi="PT Astra Serif"/>
          <w:b/>
          <w:bCs/>
          <w:color w:val="000000"/>
          <w:sz w:val="28"/>
          <w:szCs w:val="28"/>
          <w:u w:val="none"/>
          <w:shd w:fill="auto" w:val="clear"/>
        </w:rPr>
        <w:t xml:space="preserve">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по местному времени (00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3.4. Дата и время окончания подачи заявок - 02 июня 2025 года в 17 часов 00 минут по местному времени (10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3.5. Дата рассмотрения заявок на участие в аукционе – 03 мая 2025 года.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3.6. Дата и время проведения аукциона – 05 июня 2025 года в 10 часов 00 минут по местному времени (03 часа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3.7. Подведение итогов аукциона: процедура аукциона считается завершенной со времени подписания организатором протокола об итогах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color w:val="000000"/>
          <w:shd w:fill="auto" w:val="clear"/>
        </w:rPr>
      </w:pPr>
      <w:r>
        <w:rPr>
          <w:rFonts w:ascii="PT Astra Serif" w:hAnsi="PT Astra Serif"/>
          <w:color w:val="000000"/>
          <w:shd w:fill="auto" w:val="clear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4. Порядок ознакомления с извещением, условиями договора аренды. Осмотр земельного участка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 xml:space="preserve">4.1. Извещение об аукционе размещается на официальном сайте торгов (ГИС Торги) https://torgi.gov.ru/, официальном сайте администрации  Партизанского муниципального округа </w:t>
      </w:r>
      <w:hyperlink r:id="rId6">
        <w:r>
          <w:rPr>
            <w:rStyle w:val="Hyperlink"/>
            <w:rFonts w:ascii="PT Astra Serif" w:hAnsi="PT Astra Serif"/>
            <w:b w:val="false"/>
            <w:bCs w:val="false"/>
            <w:sz w:val="28"/>
            <w:szCs w:val="28"/>
          </w:rPr>
          <w:t>http://rayon.partizansky.ru/</w:t>
        </w:r>
      </w:hyperlink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 xml:space="preserve"> и на электронной площадке https://www.rts-tender.ru/. Вместе с извещением размещается форма заявки на участие в аукционе, проект договора аренды земельного участка, иная информация, относящаяся к аукциону/ предмету аукциона. С извещением можно ознакомиться, начиная с даты размещения извещения на официальном сайте торгов до даты окончания срока приема заявок на участие в аукционе на вышеуказанных сайтах в информационно-телекоммуникационной сети «Интернет».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4.2. С условиями договора аренды земельного участка, заключаемого по результатам проведения аукциона, можно ознакомиться со дня начала приема заявок до даты окончания срока приема заявок на участие в аукционе на официальном сайте торгов, официальном сайте администрации Партизанского муниципального округа и на электронной площадке.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4.3. Любое заинтересованное лицо со дня начала приема заявок вправе до даты окончания срока приема заявок на участие в аукционе осмотреть земельный участок, являющийся предметом аукциона. Запрос на осмотр земельного участка должен быть направлен в адрес организатора аукциона  одним из следующих способов: по почте (692962, Приморский край, Партизанский муниципальный округ, с. Владимиро-Александровское,                      ул. Комсомольская, д. 45 А); на адрес электронной почты: adm@partizansky.ru, посредством телефонной связи: 8-42365-21-0-88, не позднее чем за два рабочих дня до даты окончания срока подачи заявок на участие в аукционе. Организатор аукциона обеспечивает желающим доступ на земельный участок, возможность проведения фото- и видеосъемки.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4.4. Решение об отказе от проведения аукциона может быть принято организатором аукциона в соответствии с Земельным кодексом Российской Федерации.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площадку. Уведомление заявителей об отказе в проведении аукциона и возврат задатков осуществляет оператор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5. Требования к заявителям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5.1. Заявителем на участие в аукционе может быть любое лицо, претендующее на заключение договора аренды земельного участка, имеющее усиленную квалифицированную электронную подпись, оформленную в соответствии с требованиями действующего законодательства удостоверяющим центром, и прошедший регистрацию (аккредитацию) на электронной площадке в соответствии с Регламентом электронной площадки (</w:t>
      </w:r>
      <w:hyperlink r:id="rId7">
        <w:r>
          <w:rPr>
            <w:rStyle w:val="Hyperlink"/>
            <w:rFonts w:ascii="PT Astra Serif" w:hAnsi="PT Astra Serif"/>
            <w:b w:val="false"/>
            <w:bCs w:val="false"/>
            <w:color w:val="000000"/>
            <w:sz w:val="28"/>
            <w:szCs w:val="28"/>
          </w:rPr>
          <w:t>https://www.rts-tender.ru/Portals/0/Files/library/docs/reglament-property-sales-07022025.pdf</w:t>
        </w:r>
      </w:hyperlink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).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6. Порядок регистрации на электронной площадке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6.1. Для обеспечения доступа к участию в электронном аукционе заявителям необходимо пройти процедуру регистрации в реестре участников торгов на Официальном сайте торгов www.torgi.gov.ru (ГИС Торги) или первичную регистрации в соответствии с Регламентом  электронной  площадки  оператора (</w:t>
      </w:r>
      <w:hyperlink r:id="rId8">
        <w:r>
          <w:rPr>
            <w:rStyle w:val="Hyperlink"/>
            <w:rFonts w:ascii="PT Astra Serif" w:hAnsi="PT Astra Serif"/>
            <w:b w:val="false"/>
            <w:bCs w:val="false"/>
            <w:color w:val="000000"/>
            <w:sz w:val="28"/>
            <w:szCs w:val="28"/>
          </w:rPr>
          <w:t>https://www.rts-tender.ru/Portals/0/Files/library/docs/reglament-property-sales-07022025.pdf</w:t>
        </w:r>
      </w:hyperlink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).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 xml:space="preserve">6.2. Регистрация на электронной площадке заявителей осуществляется ежедневно, круглосуточно в соответствии с Регламентом электронной площадки. </w:t>
      </w: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 xml:space="preserve">Регистрация на электронной площадке осуществляется без взимания платы. 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6.3. Регистрации на электронной площадке подлежат заявители, ранее не зарегистрированные на электронной площадке или регистрация которых, на электронной площадке была ими прекращена.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6.4. Для прохождения процедуры регистрации заявителю необходимо иметь ЭП, усиленную квалифицированную электронную подпись, оформленную в соответствии с требованиями действующего законодательства удостоверяющим центром.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/>
          <w:bCs/>
          <w:color w:val="000000"/>
          <w:shd w:fill="FFFF00" w:val="clear"/>
        </w:rPr>
      </w:pPr>
      <w:r>
        <w:rPr>
          <w:rFonts w:ascii="PT Astra Serif" w:hAnsi="PT Astra Serif"/>
          <w:b/>
          <w:bCs/>
          <w:color w:val="000000"/>
          <w:shd w:fill="FFFF00" w:val="clear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/>
          <w:bCs/>
          <w:color w:val="000000"/>
          <w:shd w:fill="FFFF00" w:val="clear"/>
        </w:rPr>
      </w:pPr>
      <w:r>
        <w:rPr>
          <w:rFonts w:ascii="PT Astra Serif" w:hAnsi="PT Astra Serif"/>
          <w:b/>
          <w:bCs/>
          <w:color w:val="000000"/>
          <w:shd w:fill="FFFF00" w:val="clear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/>
          <w:bCs/>
          <w:color w:val="000000"/>
          <w:shd w:fill="FFFF00" w:val="clear"/>
        </w:rPr>
      </w:pPr>
      <w:r>
        <w:rPr>
          <w:rFonts w:ascii="PT Astra Serif" w:hAnsi="PT Astra Serif"/>
          <w:b/>
          <w:bCs/>
          <w:color w:val="000000"/>
          <w:shd w:fill="FFFF00" w:val="clear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/>
          <w:bCs/>
          <w:color w:val="000000"/>
          <w:shd w:fill="FFFF00" w:val="clear"/>
        </w:rPr>
      </w:pPr>
      <w:r>
        <w:rPr>
          <w:rFonts w:ascii="PT Astra Serif" w:hAnsi="PT Astra Serif"/>
          <w:b/>
          <w:bCs/>
          <w:color w:val="000000"/>
          <w:shd w:fill="FFFF00" w:val="clear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7. Порядок приема заявок на участие в аукционе, форма заявки,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перечень документов, необходимых для участия в аукционе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7.1. Аукцион является открытым по составу участников.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7.2. Прием заявок и прилагаемых к ним документов начинается с даты и времени, указанных в извещении и осуществляется в течение всего периода, указанного в извещении.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7.3. Подача заявки на участие в аукционе осуществляется на электронной площадке ООО «РТС-тендер» </w:t>
      </w:r>
      <w:hyperlink r:id="rId9">
        <w:r>
          <w:rPr>
            <w:rStyle w:val="Hyperlink"/>
            <w:rFonts w:ascii="PT Astra Serif" w:hAnsi="PT Astra Serif"/>
            <w:b w:val="false"/>
            <w:bCs w:val="false"/>
            <w:color w:val="000000"/>
            <w:sz w:val="28"/>
            <w:szCs w:val="28"/>
            <w:shd w:fill="auto" w:val="clear"/>
          </w:rPr>
          <w:t>https://www.rts-tender.ru/</w:t>
        </w:r>
      </w:hyperlink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«Имущественные торги» через личный кабинет заявителя (зарегистрированного лица). Одно лицо имеет право подать только одну заявку на участие в аукционе.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7.4.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1) копии документов, удостоверяющих личность заявителя (всех страниц документа)</w:t>
      </w:r>
      <w:r>
        <w:rPr>
          <w:rStyle w:val="FootnoteReference"/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footnoteReference w:id="4"/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(для граждан);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2) </w:t>
      </w: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3) документы, подтверждающие внесение задатка. В случае подачи заявки представителем заявителя предъявляется доверенность на лицо, имеющее право действовать от имени заявителя, оформленная в соответствии с требованиями, установленными гражданским законодательством.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Форма заявки на участие в аукционе содержится в извещении (Приложение № 1) и является обязательной для заполнения.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7.5. Сведения, которые содержатся в заявке с прилагаемыми к ней документами, не должны допускать двусмысленного толкования. Ответственность за достоверность представленной информации и документов несет заявитель.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7.6. 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7.7. Весь документооборот между заявителями, участниками, оператором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заявителя, участника, организатора аукциона либо лица, имеющего право действовать от имени соответственно заявителя, участника, организатора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8. Порядок внесения и возврата задатка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Задатки единым платежом перечисляются на реквизиты оператора электронной площадки. Срок зачисления денежных средств на лицевой счет пользователя на торговой платформе «РТС – тендер» https://www.rts-tender.ru от 1 до 3 рабочих дней со дня перечисления денежных средств. Задаток перечисляется до подачи заявки.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sz w:val="28"/>
          <w:szCs w:val="28"/>
          <w:u w:val="none"/>
          <w:shd w:fill="auto" w:val="clear"/>
        </w:rPr>
        <w:t>Задаток для участия в аукционе служит обеспечением исполнения обязательства победителя аукциона по заключению договоров аренды, вносится на расчетный счет Заявителя, открытый при регистрации на электронной площадке в порядке, установленном Регламентом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sz w:val="28"/>
          <w:szCs w:val="28"/>
          <w:u w:val="none"/>
          <w:shd w:fill="auto" w:val="clear"/>
        </w:rPr>
        <w:t>Платежи по перечислению задатка для участи в аукционе, и порядок возврата осуществляется в соответствии с Регламентом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Задаток должен поступить на указанный счет до 02 июня 2025 года в 17 часов 00 минут по местному времени (10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При уклонении или отказе победителя торгов от заключения в установленный срок договора аренды земельного участка результаты аукциона аннулируются, победитель утрачивает право на заключение указанного договора, задаток ему не возвращается.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Задаток возвращается: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- претенденту, не допущенному к участию в аукционе - в течение 3 рабочих дней со дня оформления протокола о приеме заявок на участие в аукционе;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- претенденту, отозвавшему принятую организатором аукциона заявку до дня окончания срока приема заявок, уведомив об этом в письменной форме организатора аукциона - в течение 3 рабочих дней со дня поступления уведомления об отзыве заявки;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- претенденту, отозвавшему заявку позднее дня окончания срока приема заявок - в течение 3 рабочих дней со дня  подписания протокола о результатах аукциона;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- участникам аукциона, не победившим в нем – в течение 3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-участникам несостоявшихся торгов – в течение 3 рабочих дней со дня подписания протокола о результатах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 xml:space="preserve">Задаток, внесенный лицом, признанным победителем, засчитывается в оплату приобретаемого земельного участка. 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sz w:val="28"/>
          <w:szCs w:val="28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Денежные средства, поступившие от третьих лиц, не зачисляются.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9. Рассмотрение заявок на участие в аукционе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9.1. Срок рассмотрения заявок на участие в аукционе не может превышать три рабочих дня с даты окончания срока приема документов.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9.2. Заявитель не допускается к участию в аукционе в следующих случаях: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1) непредставление необходимых для участия в аукционе документов или представление недостоверных сведений;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2) не поступление задатка на дату рассмотрения заявок на участие в аукционе;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3) подача заявки на участие в аукционе лицом, которое в соответствии с действующим законодательством РФ не имеет права быть участником конкретного аукциона, приобрести земельный участок в аренду;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4) наличие сведений о заявителе в реестре недобросовестных участников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9.3. 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9.4. 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позднее чем на следующий день</w:t>
      </w:r>
      <w:r>
        <w:rPr>
          <w:rFonts w:ascii="PT Astra Serif" w:hAnsi="PT Astra Serif"/>
          <w:b w:val="false"/>
          <w:bCs w:val="false"/>
          <w:i/>
          <w:iCs/>
          <w:color w:val="000000"/>
          <w:sz w:val="28"/>
          <w:szCs w:val="28"/>
          <w:shd w:fill="FFFF00" w:val="clear"/>
        </w:rPr>
        <w:t xml:space="preserve">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</w:t>
      </w: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 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9.5.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9.6.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9.7.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протокола, обязан направить заявителю два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9.8.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в течение десяти дней со дня подписания протокола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10. Порядок проведения аукциона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10.1. Аукцион состоится в указанный в извещении день и час на электронной торговой площадке ООО «РТС-тендер» https://www.rts-tender.ru/. В аукционе имеют право участвовать только заявители, допущенные к участию в аукционе.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10.2.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10.3. 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10.4. 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10.5. Протокол проведения электронного аукциона </w:t>
      </w: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подписывается оператором электронной площадки и размещается им на электронной площадке в течение одного часа после окончания электронного аукциона.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Протокол о результатах электронного аукциона после его размещения на электронной площадке в автоматическом режиме направляется </w:t>
      </w:r>
      <w:r>
        <w:rPr>
          <w:rFonts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оператором электронной площадки для размещения на 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10.6.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u w:val="none"/>
          <w:shd w:fill="FFFFFF" w:val="clear"/>
        </w:rPr>
        <w:t>11. Заключение договора аренды земельного участка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 xml:space="preserve">11.1. По результатам проведения электронного аукциона 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либо протокола о результатах электронного аукциона на 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11.2. Не допускается заключение договора аренды земельного участка,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u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>11.3. Уполномоченный орган обязан в течение пяти дней со дня истечения срока, предусмотренного пунктом 11.1. настоящего извещения, направить победителю электронного аукциона или иным лицам, с которыми заключение договора предусмотрено пунктами 13, 14, 20 и 25 статьи 39.12 Земельного кодекса РФ, подписанный проект договора аренды земельного участка.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11.4.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11.5.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auto" w:val="clear"/>
        </w:rPr>
        <w:t xml:space="preserve"> Если договор аренды земельного участка в течение десяти рабочих дней со дня направления победителю аукциона проекта не был им подписан, и представлен в уполномоченный орган, уполномоченный орган направляет указанный договор иному участнику аукциона, который сделал предпоследнее предложение о цене предмета аукциона, по цене, предложенной таким участником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11.6.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11.7. 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(при наличии указанных лиц). При этом условия повторного аукциона могут быть изменены.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u w:val="none"/>
          <w:shd w:fill="FFFFFF" w:val="clear"/>
        </w:rPr>
        <w:t>11.8. В случае, если победитель аукциона или иное лицо, с которым договор аренды земельного участка заключается в соответствии с пунктом 13, 14 или 20 статьи 39.12 Земельного кодекса РФ, в течение десяти рабочих дней со дня направления им уполномоченным органом проекта указанного договора не подписали указанный договор, уполномоченный орган в течение пяти рабочих дней со дня истечения этого срока направляет сведения, предусмотренные подпунктами 1 - 3 пункта 29 статьи 39.12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i/>
          <w:i/>
          <w:iCs/>
          <w:color w:val="000000"/>
          <w:sz w:val="28"/>
          <w:szCs w:val="28"/>
          <w:u w:val="single"/>
          <w:shd w:fill="FFFF00" w:val="clear"/>
        </w:rPr>
      </w:pPr>
      <w:r>
        <w:rPr>
          <w:b w:val="false"/>
          <w:bCs w:val="false"/>
          <w:i/>
          <w:iCs/>
          <w:color w:val="000000"/>
          <w:sz w:val="28"/>
          <w:szCs w:val="28"/>
          <w:u w:val="single"/>
          <w:shd w:fill="FFFF00" w:val="clear"/>
        </w:rPr>
      </w:r>
    </w:p>
    <w:p>
      <w:pPr>
        <w:pStyle w:val="Normal"/>
        <w:jc w:val="both"/>
        <w:rPr>
          <w:rFonts w:ascii="PT Astra Serif" w:hAnsi="PT Astra Serif"/>
          <w:b w:val="false"/>
          <w:bCs w:val="false"/>
          <w:sz w:val="26"/>
          <w:szCs w:val="26"/>
        </w:rPr>
      </w:pPr>
      <w:r>
        <w:rPr>
          <w:rFonts w:ascii="PT Astra Serif" w:hAnsi="PT Astra Serif"/>
          <w:b w:val="false"/>
          <w:bCs w:val="false"/>
          <w:sz w:val="26"/>
          <w:szCs w:val="26"/>
        </w:rPr>
      </w:r>
    </w:p>
    <w:p>
      <w:pPr>
        <w:pStyle w:val="Normal"/>
        <w:jc w:val="both"/>
        <w:rPr>
          <w:rFonts w:ascii="PT Astra Serif" w:hAnsi="PT Astra Serif"/>
          <w:b w:val="false"/>
          <w:bCs w:val="false"/>
          <w:sz w:val="26"/>
          <w:szCs w:val="26"/>
        </w:rPr>
      </w:pPr>
      <w:r>
        <w:rPr>
          <w:rFonts w:ascii="PT Astra Serif" w:hAnsi="PT Astra Serif"/>
          <w:b w:val="false"/>
          <w:bCs w:val="false"/>
          <w:sz w:val="26"/>
          <w:szCs w:val="26"/>
        </w:rPr>
      </w:r>
    </w:p>
    <w:sectPr>
      <w:footnotePr>
        <w:numFmt w:val="decimal"/>
      </w:footnotePr>
      <w:type w:val="nextPage"/>
      <w:pgSz w:w="11906" w:h="16838"/>
      <w:pgMar w:left="1701" w:right="566" w:gutter="0" w:header="0" w:top="28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Style17"/>
        </w:rPr>
        <w:footnoteRef/>
      </w:r>
      <w:r>
        <w:rPr/>
        <w:tab/>
        <w:t>В соответствии с п. 17 ст. 39.8 Земельного кодекса Российской Федерации изменение вида разрешенного</w:t>
      </w:r>
    </w:p>
    <w:p>
      <w:pPr>
        <w:pStyle w:val="FootnoteText"/>
        <w:rPr/>
      </w:pPr>
      <w:r>
        <w:rPr/>
        <w:t>использования земельного участка не допускается.</w:t>
      </w:r>
    </w:p>
  </w:footnote>
  <w:footnote w:id="3">
    <w:p>
      <w:pPr>
        <w:pStyle w:val="FootnoteText"/>
        <w:rPr/>
      </w:pPr>
      <w:r>
        <w:rPr>
          <w:rStyle w:val="Style17"/>
        </w:rPr>
        <w:footnoteRef/>
      </w:r>
      <w:r>
        <w:rPr/>
        <w:tab/>
        <w:t>Приложение №4 к настоящему извещению.</w:t>
      </w:r>
    </w:p>
  </w:footnote>
  <w:footnote w:id="4">
    <w:p>
      <w:pPr>
        <w:pStyle w:val="FootnoteText"/>
        <w:rPr/>
      </w:pPr>
      <w:r>
        <w:rPr>
          <w:rStyle w:val="Style17"/>
        </w:rPr>
        <w:footnoteRef/>
      </w:r>
      <w:r>
        <w:rPr/>
        <w:tab/>
        <w:t>Для совершеннолетних граждан Российской Федерации полной копией документа - паспорта гражданина</w:t>
      </w:r>
    </w:p>
    <w:p>
      <w:pPr>
        <w:pStyle w:val="FootnoteText"/>
        <w:rPr/>
      </w:pPr>
      <w:r>
        <w:rPr/>
        <w:t>Российской Федерации является копия всех страниц со 1 по 20.</w:t>
      </w:r>
    </w:p>
  </w:footnote>
</w:footnotes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Style14">
    <w:name w:val="Текст выноски Знак"/>
    <w:link w:val="BalloonText"/>
    <w:qFormat/>
    <w:rPr>
      <w:rFonts w:ascii="Tahoma" w:hAnsi="Tahoma" w:eastAsia="Times New Roman" w:cs="Tahoma"/>
      <w:sz w:val="16"/>
      <w:szCs w:val="16"/>
    </w:rPr>
  </w:style>
  <w:style w:type="character" w:styleId="Style15">
    <w:name w:val="Верхний колонтитул Знак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Style16">
    <w:name w:val="Нижний колонтитул Знак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Style1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8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>
    <w:name w:val="ConsPlus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/>
    <w:rPr>
      <w:rFonts w:ascii="Tahoma" w:hAnsi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Содержимое врезки"/>
    <w:basedOn w:val="Normal"/>
    <w:qFormat/>
    <w:pPr/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ayon.partizansky.ru/" TargetMode="External"/><Relationship Id="rId3" Type="http://schemas.openxmlformats.org/officeDocument/2006/relationships/hyperlink" Target="http://rayon.partizansky.ru/" TargetMode="External"/><Relationship Id="rId4" Type="http://schemas.openxmlformats.org/officeDocument/2006/relationships/hyperlink" Target="mailto:iSupport@rts-tender.ru" TargetMode="External"/><Relationship Id="rId5" Type="http://schemas.openxmlformats.org/officeDocument/2006/relationships/hyperlink" Target="https://www.rts-tender.ru/" TargetMode="External"/><Relationship Id="rId6" Type="http://schemas.openxmlformats.org/officeDocument/2006/relationships/hyperlink" Target="http://rayon.partizansky.ru/" TargetMode="External"/><Relationship Id="rId7" Type="http://schemas.openxmlformats.org/officeDocument/2006/relationships/hyperlink" Target="https://www.rts-tender.ru/Portals/0/Files/library/docs/reglament-property-sales-07022025.pdf" TargetMode="External"/><Relationship Id="rId8" Type="http://schemas.openxmlformats.org/officeDocument/2006/relationships/hyperlink" Target="https://www.rts-tender.ru/Portals/0/Files/library/docs/reglament-property-sales-07022025.pdf" TargetMode="External"/><Relationship Id="rId9" Type="http://schemas.openxmlformats.org/officeDocument/2006/relationships/hyperlink" Target="https://www.rts-tender.ru/" TargetMode="External"/><Relationship Id="rId10" Type="http://schemas.openxmlformats.org/officeDocument/2006/relationships/footnotes" Target="footnotes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Application>LibreOffice/7.6.7.2$Linux_X86_64 LibreOffice_project/60$Build-2</Application>
  <AppVersion>15.0000</AppVersion>
  <Pages>11</Pages>
  <Words>3711</Words>
  <Characters>25899</Characters>
  <CharactersWithSpaces>29679</CharactersWithSpaces>
  <Paragraphs>125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2024-05-06T04:20:00Z</dcterms:created>
  <dc:creator>2</dc:creator>
  <dc:description/>
  <dc:language>ru-RU</dc:language>
  <cp:lastModifiedBy/>
  <cp:lastPrinted>2025-05-19T16:38:50Z</cp:lastPrinted>
  <dcterms:modified xsi:type="dcterms:W3CDTF">2025-05-19T16:41:11Z</dcterms:modified>
  <cp:revision>45</cp:revision>
  <dc:subject/>
  <dc:title>АДМИНИСТРАЦИЯ ПАРТИЗАНСКОГО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